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pBdr>
          <w:top w:color="000000" w:space="1" w:sz="4" w:val="single"/>
          <w:left w:color="000000" w:space="4" w:sz="4" w:val="single"/>
          <w:bottom w:color="000000" w:space="1" w:sz="4" w:val="single"/>
          <w:right w:color="000000" w:space="4" w:sz="4" w:val="single"/>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4">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PKRT Reality s.r.o. </w:t>
      </w:r>
    </w:p>
    <w:p w:rsidR="00000000" w:rsidDel="00000000" w:rsidP="00000000" w:rsidRDefault="00000000" w:rsidRPr="00000000" w14:paraId="00000015">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6">
      <w:pPr>
        <w:pBdr>
          <w:top w:color="000000" w:space="1" w:sz="4" w:val="single"/>
          <w:left w:color="000000" w:space="4" w:sz="4" w:val="single"/>
          <w:bottom w:color="000000" w:space="1" w:sz="4" w:val="single"/>
          <w:right w:color="000000" w:space="4" w:sz="4" w:val="single"/>
        </w:pBd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7">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w:t>
      </w:r>
    </w:p>
    <w:p w:rsidR="00000000" w:rsidDel="00000000" w:rsidP="00000000" w:rsidRDefault="00000000" w:rsidRPr="00000000" w14:paraId="00000018">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16"/>
          <w:szCs w:val="16"/>
        </w:rPr>
      </w:pP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01B">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C">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D">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E">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F">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0">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1">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2">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3">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4">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5">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KUPNÍ SMLOUVA </w:t>
      </w:r>
    </w:p>
    <w:p w:rsidR="00000000" w:rsidDel="00000000" w:rsidP="00000000" w:rsidRDefault="00000000" w:rsidRPr="00000000" w14:paraId="00000026">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č. </w:t>
      </w:r>
      <w:r w:rsidDel="00000000" w:rsidR="00000000" w:rsidRPr="00000000">
        <w:rPr>
          <w:rFonts w:ascii="Arial" w:cs="Arial" w:eastAsia="Arial" w:hAnsi="Arial"/>
          <w:b w:val="1"/>
          <w:bCs w:val="1"/>
          <w:sz w:val="20"/>
          <w:szCs w:val="20"/>
          <w:highlight w:val="yellow"/>
          <w:rtl w:val="0"/>
        </w:rPr>
        <w:t xml:space="preserve">(  )</w:t>
      </w:r>
      <w:r w:rsidDel="00000000" w:rsidR="00000000" w:rsidRPr="00000000">
        <w:rPr>
          <w:rtl w:val="0"/>
        </w:rPr>
      </w:r>
    </w:p>
    <w:p w:rsidR="00000000" w:rsidDel="00000000" w:rsidP="00000000" w:rsidRDefault="00000000" w:rsidRPr="00000000" w14:paraId="00000027">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8">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9">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A">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B">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C">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D">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E">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F">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0">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1">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2">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3">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4">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5">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6">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7">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8">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A">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B">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C">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D">
      <w:pPr>
        <w:widowControl w:val="0"/>
        <w:pBdr>
          <w:top w:color="000000" w:space="1" w:sz="4" w:val="single"/>
          <w:left w:color="000000" w:space="4" w:sz="4" w:val="single"/>
          <w:bottom w:color="000000" w:space="1" w:sz="4" w:val="single"/>
          <w:right w:color="000000" w:space="4" w:sz="4" w:val="single"/>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E">
      <w:pPr>
        <w:widowControl w:val="0"/>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TATO KUPNÍ SMLOUVA č. </w:t>
      </w:r>
      <w:r w:rsidDel="00000000" w:rsidR="00000000" w:rsidRPr="00000000">
        <w:rPr>
          <w:rFonts w:ascii="Arial" w:cs="Arial" w:eastAsia="Arial" w:hAnsi="Arial"/>
          <w:b w:val="1"/>
          <w:bCs w:val="1"/>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(dále jen „Smlouva“) BYLA UZAVŘENA DLE ZÁK. Č. 89/2012 Sb. OBČANSKÝ ZÁKONÍK, VE ZNĚNÍ POZDĚJŠÍCH PŘEDPISŮ (dále jen „občanský zákoník“), NÍŽE UVEDENÉHO DNE, MĚSÍCE A ROKU MEZI:</w:t>
      </w:r>
    </w:p>
    <w:p w:rsidR="00000000" w:rsidDel="00000000" w:rsidP="00000000" w:rsidRDefault="00000000" w:rsidRPr="00000000" w14:paraId="0000003F">
      <w:pPr>
        <w:widowControl w:val="0"/>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widowControl w:val="0"/>
        <w:numPr>
          <w:ilvl w:val="0"/>
          <w:numId w:val="11"/>
        </w:numPr>
        <w:pBdr>
          <w:top w:space="0" w:sz="0" w:val="nil"/>
          <w:left w:space="0" w:sz="0" w:val="nil"/>
          <w:bottom w:space="0" w:sz="0" w:val="nil"/>
          <w:right w:space="0" w:sz="0" w:val="nil"/>
          <w:between w:space="0" w:sz="0" w:val="nil"/>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720" w:hanging="36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Prodávající:</w:t>
      </w:r>
    </w:p>
    <w:p w:rsidR="00000000" w:rsidDel="00000000" w:rsidP="00000000" w:rsidRDefault="00000000" w:rsidRPr="00000000" w14:paraId="00000041">
      <w:pPr>
        <w:ind w:left="720" w:right="543" w:firstLine="0"/>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708" w:firstLine="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PKRT Reality s.r.o. </w:t>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sídlem Nad koupadly 805/9, Lhotka, 142 00 Praha 4</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IČO: 23512199 </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zapsaná v obchodním rejstříku vedeném Městským soudem v Praze pod spis. zn. C 428427</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708" w:firstLine="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zastoupená Ing. Pavlem Kopečným, jednatelem společnosti</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email: </w:t>
      </w:r>
      <w:hyperlink r:id="rId7">
        <w:r w:rsidDel="00000000" w:rsidR="00000000" w:rsidRPr="00000000">
          <w:rPr>
            <w:rFonts w:ascii="Arial" w:cs="Arial" w:eastAsia="Arial" w:hAnsi="Arial"/>
            <w:color w:val="0000ff"/>
            <w:sz w:val="20"/>
            <w:szCs w:val="20"/>
            <w:u w:val="single"/>
            <w:rtl w:val="0"/>
          </w:rPr>
          <w:t xml:space="preserve">pkrt.reality@gmail.com</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48">
      <w:pPr>
        <w:ind w:left="708"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dále také jen jako „</w:t>
      </w:r>
      <w:r w:rsidDel="00000000" w:rsidR="00000000" w:rsidRPr="00000000">
        <w:rPr>
          <w:rFonts w:ascii="Arial" w:cs="Arial" w:eastAsia="Arial" w:hAnsi="Arial"/>
          <w:b w:val="1"/>
          <w:bCs w:val="1"/>
          <w:sz w:val="20"/>
          <w:szCs w:val="20"/>
          <w:rtl w:val="0"/>
        </w:rPr>
        <w:t xml:space="preserve">Prodávající</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72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D">
      <w:pPr>
        <w:widowControl w:val="0"/>
        <w:numPr>
          <w:ilvl w:val="0"/>
          <w:numId w:val="11"/>
        </w:numPr>
        <w:pBdr>
          <w:top w:space="0" w:sz="0" w:val="nil"/>
          <w:left w:space="0" w:sz="0" w:val="nil"/>
          <w:bottom w:space="0" w:sz="0" w:val="nil"/>
          <w:right w:space="0" w:sz="0" w:val="nil"/>
          <w:between w:space="0" w:sz="0" w:val="nil"/>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720" w:hanging="36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Kupující:</w:t>
      </w:r>
    </w:p>
    <w:p w:rsidR="00000000" w:rsidDel="00000000" w:rsidP="00000000" w:rsidRDefault="00000000" w:rsidRPr="00000000" w14:paraId="0000004E">
      <w:pPr>
        <w:ind w:left="720" w:right="543"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F">
      <w:pPr>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pan/í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50">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r.č./nar.</w:t>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51">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bytem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t xml:space="preserve"> </w:t>
      </w:r>
    </w:p>
    <w:p w:rsidR="00000000" w:rsidDel="00000000" w:rsidP="00000000" w:rsidRDefault="00000000" w:rsidRPr="00000000" w14:paraId="00000052">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dle plné moci ze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53">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w:t>
      </w:r>
    </w:p>
    <w:p w:rsidR="00000000" w:rsidDel="00000000" w:rsidP="00000000" w:rsidRDefault="00000000" w:rsidRPr="00000000" w14:paraId="00000054">
      <w:pPr>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pan/í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55">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r.č./nar.</w:t>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56">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bytem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t xml:space="preserve"> </w:t>
      </w:r>
    </w:p>
    <w:p w:rsidR="00000000" w:rsidDel="00000000" w:rsidP="00000000" w:rsidRDefault="00000000" w:rsidRPr="00000000" w14:paraId="00000057">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dle plné moci ze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58">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nebo</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C">
      <w:pPr>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společnost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5D">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IČO: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5E">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Sídlo: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5F">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zapsaná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0">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 xml:space="preserve">jednatel / předseda představenstva / člen představenstva</w:t>
      </w:r>
    </w:p>
    <w:p w:rsidR="00000000" w:rsidDel="00000000" w:rsidP="00000000" w:rsidRDefault="00000000" w:rsidRPr="00000000" w14:paraId="00000061">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720"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také jen jako „</w:t>
      </w:r>
      <w:r w:rsidDel="00000000" w:rsidR="00000000" w:rsidRPr="00000000">
        <w:rPr>
          <w:rFonts w:ascii="Arial" w:cs="Arial" w:eastAsia="Arial" w:hAnsi="Arial"/>
          <w:b w:val="1"/>
          <w:bCs w:val="1"/>
          <w:color w:val="000000"/>
          <w:sz w:val="20"/>
          <w:szCs w:val="20"/>
          <w:rtl w:val="0"/>
        </w:rPr>
        <w:t xml:space="preserve">Kupující</w:t>
      </w:r>
      <w:r w:rsidDel="00000000" w:rsidR="00000000" w:rsidRPr="00000000">
        <w:rPr>
          <w:rFonts w:ascii="Arial" w:cs="Arial" w:eastAsia="Arial" w:hAnsi="Arial"/>
          <w:color w:val="000000"/>
          <w:sz w:val="20"/>
          <w:szCs w:val="20"/>
          <w:rtl w:val="0"/>
        </w:rPr>
        <w:t xml:space="preserve">“ (je-li účastníků na této smluvní straně více, pak platí, že jsou zavázáni společně a nerozdílně),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tabs>
          <w:tab w:val="left" w:leader="none" w:pos="0"/>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5">
      <w:pPr>
        <w:widowControl w:val="0"/>
        <w:tabs>
          <w:tab w:val="left" w:leader="none" w:pos="1076"/>
          <w:tab w:val="left" w:leader="none" w:pos="1642"/>
          <w:tab w:val="left" w:leader="none" w:pos="2208"/>
          <w:tab w:val="left" w:leader="none" w:pos="2776"/>
          <w:tab w:val="left" w:leader="none" w:pos="3342"/>
          <w:tab w:val="left" w:leader="none" w:pos="3910"/>
          <w:tab w:val="left" w:leader="none" w:pos="4476"/>
          <w:tab w:val="left" w:leader="none" w:pos="5044"/>
          <w:tab w:val="left" w:leader="none" w:pos="5610"/>
          <w:tab w:val="right" w:leader="none" w:pos="6176"/>
          <w:tab w:val="left" w:leader="none" w:pos="6744"/>
          <w:tab w:val="left" w:leader="none" w:pos="7310"/>
          <w:tab w:val="left" w:leader="none" w:pos="8444"/>
          <w:tab w:val="left" w:leader="none" w:pos="9012"/>
        </w:tabs>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společně označovány dále jen „</w:t>
      </w:r>
      <w:r w:rsidDel="00000000" w:rsidR="00000000" w:rsidRPr="00000000">
        <w:rPr>
          <w:rFonts w:ascii="Arial" w:cs="Arial" w:eastAsia="Arial" w:hAnsi="Arial"/>
          <w:b w:val="1"/>
          <w:bCs w:val="1"/>
          <w:sz w:val="20"/>
          <w:szCs w:val="20"/>
          <w:rtl w:val="0"/>
        </w:rPr>
        <w:t xml:space="preserve">Smluvní strany</w:t>
      </w:r>
      <w:r w:rsidDel="00000000" w:rsidR="00000000" w:rsidRPr="00000000">
        <w:rPr>
          <w:rFonts w:ascii="Arial" w:cs="Arial" w:eastAsia="Arial" w:hAnsi="Arial"/>
          <w:sz w:val="20"/>
          <w:szCs w:val="20"/>
          <w:rtl w:val="0"/>
        </w:rPr>
        <w:t xml:space="preserve">“ či jednotlivě „</w:t>
      </w:r>
      <w:r w:rsidDel="00000000" w:rsidR="00000000" w:rsidRPr="00000000">
        <w:rPr>
          <w:rFonts w:ascii="Arial" w:cs="Arial" w:eastAsia="Arial" w:hAnsi="Arial"/>
          <w:b w:val="1"/>
          <w:bCs w:val="1"/>
          <w:sz w:val="20"/>
          <w:szCs w:val="20"/>
          <w:rtl w:val="0"/>
        </w:rPr>
        <w:t xml:space="preserve">Smluvní strana</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6">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ind w:left="720" w:hanging="72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smallCaps w:val="1"/>
          <w:color w:val="000000"/>
          <w:sz w:val="20"/>
          <w:szCs w:val="20"/>
          <w:rtl w:val="0"/>
        </w:rPr>
        <w:t xml:space="preserve">ÚVODNÍ USTANOVENÍ</w:t>
      </w: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9">
      <w:pPr>
        <w:numPr>
          <w:ilvl w:val="1"/>
          <w:numId w:val="13"/>
        </w:numPr>
        <w:pBdr>
          <w:top w:space="0" w:sz="0" w:val="nil"/>
          <w:left w:space="0" w:sz="0" w:val="nil"/>
          <w:bottom w:space="0" w:sz="0" w:val="nil"/>
          <w:right w:space="0" w:sz="0" w:val="nil"/>
          <w:between w:space="0" w:sz="0" w:val="nil"/>
        </w:pBdr>
        <w:ind w:left="709" w:hanging="709"/>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Prodávající prohlašuje, že je výlučným vlastníkem níže specifikovaných nemovitých věcí: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B">
      <w:pPr>
        <w:numPr>
          <w:ilvl w:val="0"/>
          <w:numId w:val="17"/>
        </w:numPr>
        <w:pBdr>
          <w:top w:space="0" w:sz="0" w:val="nil"/>
          <w:left w:space="0" w:sz="0" w:val="nil"/>
          <w:bottom w:space="0" w:sz="0" w:val="nil"/>
          <w:right w:space="0" w:sz="0" w:val="nil"/>
          <w:between w:space="0" w:sz="0" w:val="nil"/>
        </w:pBdr>
        <w:ind w:left="1134" w:hanging="360"/>
        <w:jc w:val="both"/>
        <w:rPr>
          <w:rFonts w:ascii="Arial" w:cs="Arial" w:eastAsia="Arial" w:hAnsi="Arial"/>
          <w:b w:val="1"/>
          <w:bCs w:val="1"/>
          <w:color w:val="000000"/>
          <w:sz w:val="20"/>
          <w:szCs w:val="20"/>
          <w:highlight w:val="yellow"/>
          <w:u w:val="single"/>
        </w:rPr>
      </w:pPr>
      <w:bookmarkStart w:colFirst="0" w:colLast="0" w:name="_heading=h.m2t42r1367d" w:id="0"/>
      <w:bookmarkEnd w:id="0"/>
      <w:r w:rsidDel="00000000" w:rsidR="00000000" w:rsidRPr="00000000">
        <w:rPr>
          <w:rFonts w:ascii="Arial" w:cs="Arial" w:eastAsia="Arial" w:hAnsi="Arial"/>
          <w:b w:val="1"/>
          <w:bCs w:val="1"/>
          <w:color w:val="000000"/>
          <w:sz w:val="20"/>
          <w:szCs w:val="20"/>
          <w:highlight w:val="yellow"/>
          <w:rtl w:val="0"/>
        </w:rPr>
        <w:t xml:space="preserve">jednotky č. (  )/(  ), způsob využití: byt, </w:t>
      </w:r>
      <w:r w:rsidDel="00000000" w:rsidR="00000000" w:rsidRPr="00000000">
        <w:rPr>
          <w:rFonts w:ascii="Arial" w:cs="Arial" w:eastAsia="Arial" w:hAnsi="Arial"/>
          <w:color w:val="000000"/>
          <w:sz w:val="20"/>
          <w:szCs w:val="20"/>
          <w:highlight w:val="yellow"/>
          <w:rtl w:val="0"/>
        </w:rPr>
        <w:t xml:space="preserve">vymezené dle občanského zákoníku, v pozemku parc. č. (  ), jehož součástí je stavba č.p. (  ), způsob využití: (  ) (dále samostatně jen „bytový dům“), nacházející se v/ve (  ). nadzemním podlaží bytového domu, v katastrálním území Velvary, obec Velvary a okres Kladno (dále včetně všech součástí a příslušenství jen „</w:t>
      </w:r>
      <w:r w:rsidDel="00000000" w:rsidR="00000000" w:rsidRPr="00000000">
        <w:rPr>
          <w:rFonts w:ascii="Arial" w:cs="Arial" w:eastAsia="Arial" w:hAnsi="Arial"/>
          <w:b w:val="1"/>
          <w:bCs w:val="1"/>
          <w:color w:val="000000"/>
          <w:sz w:val="20"/>
          <w:szCs w:val="20"/>
          <w:highlight w:val="yellow"/>
          <w:rtl w:val="0"/>
        </w:rPr>
        <w:t xml:space="preserve">Jednotka</w:t>
      </w:r>
      <w:r w:rsidDel="00000000" w:rsidR="00000000" w:rsidRPr="00000000">
        <w:rPr>
          <w:rFonts w:ascii="Arial" w:cs="Arial" w:eastAsia="Arial" w:hAnsi="Arial"/>
          <w:color w:val="000000"/>
          <w:sz w:val="20"/>
          <w:szCs w:val="20"/>
          <w:highlight w:val="yellow"/>
          <w:rtl w:val="0"/>
        </w:rPr>
        <w:t xml:space="preserve">“); Jednotka zahrnuje:</w:t>
      </w:r>
      <w:r w:rsidDel="00000000" w:rsidR="00000000" w:rsidRPr="00000000">
        <w:rPr>
          <w:rtl w:val="0"/>
        </w:rPr>
      </w:r>
    </w:p>
    <w:p w:rsidR="00000000" w:rsidDel="00000000" w:rsidP="00000000" w:rsidRDefault="00000000" w:rsidRPr="00000000" w14:paraId="0000006C">
      <w:pPr>
        <w:numPr>
          <w:ilvl w:val="0"/>
          <w:numId w:val="14"/>
        </w:numPr>
        <w:pBdr>
          <w:top w:space="0" w:sz="0" w:val="nil"/>
          <w:left w:space="0" w:sz="0" w:val="nil"/>
          <w:bottom w:space="0" w:sz="0" w:val="nil"/>
          <w:right w:space="0" w:sz="0" w:val="nil"/>
          <w:between w:space="0" w:sz="0" w:val="nil"/>
        </w:pBdr>
        <w:ind w:left="1560" w:hanging="360"/>
        <w:jc w:val="both"/>
        <w:rPr>
          <w:rFonts w:ascii="Arial" w:cs="Arial" w:eastAsia="Arial" w:hAnsi="Arial"/>
          <w:color w:val="000000"/>
          <w:sz w:val="20"/>
          <w:szCs w:val="20"/>
          <w:highlight w:val="yellow"/>
        </w:rPr>
      </w:pPr>
      <w:bookmarkStart w:colFirst="0" w:colLast="0" w:name="_heading=h.yaho1gpnrrax" w:id="1"/>
      <w:bookmarkEnd w:id="1"/>
      <w:r w:rsidDel="00000000" w:rsidR="00000000" w:rsidRPr="00000000">
        <w:rPr>
          <w:rFonts w:ascii="Arial" w:cs="Arial" w:eastAsia="Arial" w:hAnsi="Arial"/>
          <w:b w:val="1"/>
          <w:bCs w:val="1"/>
          <w:color w:val="000000"/>
          <w:sz w:val="20"/>
          <w:szCs w:val="20"/>
          <w:highlight w:val="yellow"/>
          <w:rtl w:val="0"/>
        </w:rPr>
        <w:t xml:space="preserve">byt</w:t>
      </w:r>
      <w:r w:rsidDel="00000000" w:rsidR="00000000" w:rsidRPr="00000000">
        <w:rPr>
          <w:rFonts w:ascii="Arial" w:cs="Arial" w:eastAsia="Arial" w:hAnsi="Arial"/>
          <w:color w:val="000000"/>
          <w:sz w:val="20"/>
          <w:szCs w:val="20"/>
          <w:highlight w:val="yellow"/>
          <w:rtl w:val="0"/>
        </w:rPr>
        <w:t xml:space="preserve">, jehož podlahová plocha činí </w:t>
      </w:r>
      <w:r w:rsidDel="00000000" w:rsidR="00000000" w:rsidRPr="00000000">
        <w:rPr>
          <w:rFonts w:ascii="Arial" w:cs="Arial" w:eastAsia="Arial" w:hAnsi="Arial"/>
          <w:b w:val="1"/>
          <w:bCs w:val="1"/>
          <w:color w:val="000000"/>
          <w:sz w:val="20"/>
          <w:szCs w:val="20"/>
          <w:highlight w:val="yellow"/>
          <w:rtl w:val="0"/>
        </w:rPr>
        <w:t xml:space="preserve">(  ) m</w:t>
      </w:r>
      <w:r w:rsidDel="00000000" w:rsidR="00000000" w:rsidRPr="00000000">
        <w:rPr>
          <w:rFonts w:ascii="Arial" w:cs="Arial" w:eastAsia="Arial" w:hAnsi="Arial"/>
          <w:b w:val="1"/>
          <w:bCs w:val="1"/>
          <w:color w:val="000000"/>
          <w:sz w:val="20"/>
          <w:szCs w:val="20"/>
          <w:highlight w:val="yellow"/>
          <w:vertAlign w:val="superscript"/>
          <w:rtl w:val="0"/>
        </w:rPr>
        <w:t xml:space="preserve">2</w:t>
      </w:r>
      <w:r w:rsidDel="00000000" w:rsidR="00000000" w:rsidRPr="00000000">
        <w:rPr>
          <w:rFonts w:ascii="Arial" w:cs="Arial" w:eastAsia="Arial" w:hAnsi="Arial"/>
          <w:color w:val="000000"/>
          <w:sz w:val="20"/>
          <w:szCs w:val="20"/>
          <w:highlight w:val="yellow"/>
          <w:rtl w:val="0"/>
        </w:rPr>
        <w:t xml:space="preserve">,</w:t>
      </w:r>
    </w:p>
    <w:p w:rsidR="00000000" w:rsidDel="00000000" w:rsidP="00000000" w:rsidRDefault="00000000" w:rsidRPr="00000000" w14:paraId="0000006D">
      <w:pPr>
        <w:numPr>
          <w:ilvl w:val="0"/>
          <w:numId w:val="14"/>
        </w:numPr>
        <w:pBdr>
          <w:top w:space="0" w:sz="0" w:val="nil"/>
          <w:left w:space="0" w:sz="0" w:val="nil"/>
          <w:bottom w:space="0" w:sz="0" w:val="nil"/>
          <w:right w:space="0" w:sz="0" w:val="nil"/>
          <w:between w:space="0" w:sz="0" w:val="nil"/>
        </w:pBdr>
        <w:ind w:left="1560" w:hanging="360"/>
        <w:jc w:val="both"/>
        <w:rPr>
          <w:rFonts w:ascii="Arial" w:cs="Arial" w:eastAsia="Arial" w:hAnsi="Arial"/>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podíl o velikosti (  )/(  ) na společných částech nemovité věci</w:t>
      </w:r>
      <w:r w:rsidDel="00000000" w:rsidR="00000000" w:rsidRPr="00000000">
        <w:rPr>
          <w:rFonts w:ascii="Arial" w:cs="Arial" w:eastAsia="Arial" w:hAnsi="Arial"/>
          <w:color w:val="000000"/>
          <w:sz w:val="20"/>
          <w:szCs w:val="20"/>
          <w:highlight w:val="yellow"/>
          <w:rtl w:val="0"/>
        </w:rPr>
        <w:t xml:space="preserve">, tj. na pozemku parc. č. (  ), jehož součástí je bytový dům, vše v katastrálním území Velvary, obec Velvary a okres Kladno, </w:t>
      </w:r>
    </w:p>
    <w:p w:rsidR="00000000" w:rsidDel="00000000" w:rsidP="00000000" w:rsidRDefault="00000000" w:rsidRPr="00000000" w14:paraId="0000006E">
      <w:pPr>
        <w:ind w:left="708" w:firstLine="426.0000000000001"/>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které jsou vzájemně spojené a neoddělitelné;</w:t>
      </w:r>
      <w:r w:rsidDel="00000000" w:rsidR="00000000" w:rsidRPr="00000000">
        <w:rPr>
          <w:rtl w:val="0"/>
        </w:rPr>
      </w:r>
    </w:p>
    <w:p w:rsidR="00000000" w:rsidDel="00000000" w:rsidP="00000000" w:rsidRDefault="00000000" w:rsidRPr="00000000" w14:paraId="0000006F">
      <w:pPr>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numPr>
          <w:ilvl w:val="0"/>
          <w:numId w:val="17"/>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sklepní kóje č. (  )</w:t>
      </w:r>
      <w:r w:rsidDel="00000000" w:rsidR="00000000" w:rsidRPr="00000000">
        <w:rPr>
          <w:rFonts w:ascii="Arial" w:cs="Arial" w:eastAsia="Arial" w:hAnsi="Arial"/>
          <w:color w:val="000000"/>
          <w:sz w:val="20"/>
          <w:szCs w:val="20"/>
          <w:highlight w:val="yellow"/>
          <w:rtl w:val="0"/>
        </w:rPr>
        <w:t xml:space="preserve"> nacházející se v 1. podzemním podlaží bytového domu /pozn. bude doplněno vlastnicko-právní řešení/ (dále jen „</w:t>
      </w:r>
      <w:r w:rsidDel="00000000" w:rsidR="00000000" w:rsidRPr="00000000">
        <w:rPr>
          <w:rFonts w:ascii="Arial" w:cs="Arial" w:eastAsia="Arial" w:hAnsi="Arial"/>
          <w:b w:val="1"/>
          <w:bCs w:val="1"/>
          <w:color w:val="000000"/>
          <w:sz w:val="20"/>
          <w:szCs w:val="20"/>
          <w:highlight w:val="yellow"/>
          <w:rtl w:val="0"/>
        </w:rPr>
        <w:t xml:space="preserve">Sklepní kóje</w:t>
      </w:r>
      <w:r w:rsidDel="00000000" w:rsidR="00000000" w:rsidRPr="00000000">
        <w:rPr>
          <w:rFonts w:ascii="Arial" w:cs="Arial" w:eastAsia="Arial" w:hAnsi="Arial"/>
          <w:color w:val="000000"/>
          <w:sz w:val="20"/>
          <w:szCs w:val="20"/>
          <w:highlight w:val="yellow"/>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2">
      <w:pPr>
        <w:numPr>
          <w:ilvl w:val="0"/>
          <w:numId w:val="17"/>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parkovacího stání č. (  )</w:t>
      </w:r>
      <w:r w:rsidDel="00000000" w:rsidR="00000000" w:rsidRPr="00000000">
        <w:rPr>
          <w:rFonts w:ascii="Arial" w:cs="Arial" w:eastAsia="Arial" w:hAnsi="Arial"/>
          <w:color w:val="000000"/>
          <w:sz w:val="20"/>
          <w:szCs w:val="20"/>
          <w:highlight w:val="yellow"/>
          <w:rtl w:val="0"/>
        </w:rPr>
        <w:t xml:space="preserve"> /pozn. bude doplněno vlastnicko-právní řešení/ (dále jen „</w:t>
      </w:r>
      <w:r w:rsidDel="00000000" w:rsidR="00000000" w:rsidRPr="00000000">
        <w:rPr>
          <w:rFonts w:ascii="Arial" w:cs="Arial" w:eastAsia="Arial" w:hAnsi="Arial"/>
          <w:b w:val="1"/>
          <w:bCs w:val="1"/>
          <w:color w:val="000000"/>
          <w:sz w:val="20"/>
          <w:szCs w:val="20"/>
          <w:highlight w:val="yellow"/>
          <w:rtl w:val="0"/>
        </w:rPr>
        <w:t xml:space="preserve">Parkovací stání</w:t>
      </w:r>
      <w:r w:rsidDel="00000000" w:rsidR="00000000" w:rsidRPr="00000000">
        <w:rPr>
          <w:rFonts w:ascii="Arial" w:cs="Arial" w:eastAsia="Arial" w:hAnsi="Arial"/>
          <w:color w:val="000000"/>
          <w:sz w:val="20"/>
          <w:szCs w:val="20"/>
          <w:highlight w:val="yellow"/>
          <w:rtl w:val="0"/>
        </w:rPr>
        <w:t xml:space="preserve">“);</w:t>
      </w:r>
    </w:p>
    <w:p w:rsidR="00000000" w:rsidDel="00000000" w:rsidP="00000000" w:rsidRDefault="00000000" w:rsidRPr="00000000" w14:paraId="00000073">
      <w:pPr>
        <w:ind w:left="708"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4">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 vše pro účely této Smlouvy dále společně jen jako „</w:t>
      </w:r>
      <w:r w:rsidDel="00000000" w:rsidR="00000000" w:rsidRPr="00000000">
        <w:rPr>
          <w:rFonts w:ascii="Arial" w:cs="Arial" w:eastAsia="Arial" w:hAnsi="Arial"/>
          <w:b w:val="1"/>
          <w:bCs w:val="1"/>
          <w:sz w:val="20"/>
          <w:szCs w:val="20"/>
          <w:rtl w:val="0"/>
        </w:rPr>
        <w:t xml:space="preserve">Předmět převodu</w:t>
      </w:r>
      <w:r w:rsidDel="00000000" w:rsidR="00000000" w:rsidRPr="00000000">
        <w:rPr>
          <w:rFonts w:ascii="Arial" w:cs="Arial" w:eastAsia="Arial" w:hAnsi="Arial"/>
          <w:sz w:val="20"/>
          <w:szCs w:val="20"/>
          <w:rtl w:val="0"/>
        </w:rPr>
        <w:t xml:space="preserve">“, to vše zapsáno v katastru nemovitostí vedeném Katastrálním úřadem pro Středočeský kraj, Katastrální pracoviště Slaný (dále jen „</w:t>
      </w:r>
      <w:r w:rsidDel="00000000" w:rsidR="00000000" w:rsidRPr="00000000">
        <w:rPr>
          <w:rFonts w:ascii="Arial" w:cs="Arial" w:eastAsia="Arial" w:hAnsi="Arial"/>
          <w:b w:val="1"/>
          <w:bCs w:val="1"/>
          <w:sz w:val="20"/>
          <w:szCs w:val="20"/>
          <w:rtl w:val="0"/>
        </w:rPr>
        <w:t xml:space="preserve">Katastrální úřad</w:t>
      </w:r>
      <w:r w:rsidDel="00000000" w:rsidR="00000000" w:rsidRPr="00000000">
        <w:rPr>
          <w:rFonts w:ascii="Arial" w:cs="Arial" w:eastAsia="Arial" w:hAnsi="Arial"/>
          <w:sz w:val="20"/>
          <w:szCs w:val="20"/>
          <w:rtl w:val="0"/>
        </w:rPr>
        <w:t xml:space="preserve">“), na listech vlastnictví č. </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sz w:val="20"/>
          <w:szCs w:val="20"/>
          <w:rtl w:val="0"/>
        </w:rPr>
        <w:t xml:space="preserve"> pro katastrální území Velvary, obec Velvary, okres Kladno. </w:t>
      </w:r>
    </w:p>
    <w:p w:rsidR="00000000" w:rsidDel="00000000" w:rsidP="00000000" w:rsidRDefault="00000000" w:rsidRPr="00000000" w14:paraId="00000075">
      <w:pPr>
        <w:ind w:left="708"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6">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List vlastnictví č. </w:t>
      </w:r>
      <w:r w:rsidDel="00000000" w:rsidR="00000000" w:rsidRPr="00000000">
        <w:rPr>
          <w:rFonts w:ascii="Arial" w:cs="Arial" w:eastAsia="Arial" w:hAnsi="Arial"/>
          <w:sz w:val="20"/>
          <w:szCs w:val="20"/>
          <w:highlight w:val="yellow"/>
          <w:rtl w:val="0"/>
        </w:rPr>
        <w:t xml:space="preserve">(LV pro jednotku)</w:t>
      </w:r>
      <w:r w:rsidDel="00000000" w:rsidR="00000000" w:rsidRPr="00000000">
        <w:rPr>
          <w:rFonts w:ascii="Arial" w:cs="Arial" w:eastAsia="Arial" w:hAnsi="Arial"/>
          <w:sz w:val="20"/>
          <w:szCs w:val="20"/>
          <w:rtl w:val="0"/>
        </w:rPr>
        <w:t xml:space="preserve"> pro katastrální území Velvary, obec Velvary, okres Kladno je nedílnou součástí této Smlouvy jako její </w:t>
      </w:r>
      <w:r w:rsidDel="00000000" w:rsidR="00000000" w:rsidRPr="00000000">
        <w:rPr>
          <w:rFonts w:ascii="Arial" w:cs="Arial" w:eastAsia="Arial" w:hAnsi="Arial"/>
          <w:sz w:val="20"/>
          <w:szCs w:val="20"/>
          <w:u w:val="single"/>
          <w:rtl w:val="0"/>
        </w:rPr>
        <w:t xml:space="preserve">Příloha č. 1</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7">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Umístění Předmětu převodu je znázorněno v </w:t>
      </w:r>
      <w:r w:rsidDel="00000000" w:rsidR="00000000" w:rsidRPr="00000000">
        <w:rPr>
          <w:rFonts w:ascii="Arial" w:cs="Arial" w:eastAsia="Arial" w:hAnsi="Arial"/>
          <w:sz w:val="20"/>
          <w:szCs w:val="20"/>
          <w:u w:val="single"/>
          <w:rtl w:val="0"/>
        </w:rPr>
        <w:t xml:space="preserve">Příloze č. 2</w:t>
      </w:r>
      <w:r w:rsidDel="00000000" w:rsidR="00000000" w:rsidRPr="00000000">
        <w:rPr>
          <w:rFonts w:ascii="Arial" w:cs="Arial" w:eastAsia="Arial" w:hAnsi="Arial"/>
          <w:sz w:val="20"/>
          <w:szCs w:val="20"/>
          <w:rtl w:val="0"/>
        </w:rPr>
        <w:t xml:space="preserve">, kterou tvoří půdorys </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sz w:val="20"/>
          <w:szCs w:val="20"/>
          <w:rtl w:val="0"/>
        </w:rPr>
        <w:t xml:space="preserve">. nadzemního podlaží bytového domu, tzv. karta jednotky a schéma parkovacích stání. </w:t>
      </w:r>
    </w:p>
    <w:p w:rsidR="00000000" w:rsidDel="00000000" w:rsidP="00000000" w:rsidRDefault="00000000" w:rsidRPr="00000000" w14:paraId="00000078">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Standardy Předmětu převodu tvoří </w:t>
      </w:r>
      <w:r w:rsidDel="00000000" w:rsidR="00000000" w:rsidRPr="00000000">
        <w:rPr>
          <w:rFonts w:ascii="Arial" w:cs="Arial" w:eastAsia="Arial" w:hAnsi="Arial"/>
          <w:sz w:val="20"/>
          <w:szCs w:val="20"/>
          <w:u w:val="single"/>
          <w:rtl w:val="0"/>
        </w:rPr>
        <w:t xml:space="preserve">Přílohu č. 3</w:t>
      </w:r>
      <w:r w:rsidDel="00000000" w:rsidR="00000000" w:rsidRPr="00000000">
        <w:rPr>
          <w:rFonts w:ascii="Arial" w:cs="Arial" w:eastAsia="Arial" w:hAnsi="Arial"/>
          <w:sz w:val="20"/>
          <w:szCs w:val="20"/>
          <w:rtl w:val="0"/>
        </w:rPr>
        <w:t xml:space="preserve"> této Smlouvy. </w:t>
      </w:r>
    </w:p>
    <w:p w:rsidR="00000000" w:rsidDel="00000000" w:rsidP="00000000" w:rsidRDefault="00000000" w:rsidRPr="00000000" w14:paraId="00000079">
      <w:pPr>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709" w:firstLine="0"/>
        <w:jc w:val="both"/>
        <w:rPr>
          <w:rFonts w:ascii="Arial" w:cs="Arial" w:eastAsia="Arial" w:hAnsi="Arial"/>
          <w:b w:val="1"/>
          <w:bCs w:val="1"/>
          <w:color w:val="000000"/>
          <w:sz w:val="20"/>
          <w:szCs w:val="20"/>
          <w:highlight w:val="yellow"/>
          <w:u w:val="single"/>
        </w:rPr>
      </w:pPr>
      <w:r w:rsidDel="00000000" w:rsidR="00000000" w:rsidRPr="00000000">
        <w:rPr>
          <w:rFonts w:ascii="Arial" w:cs="Arial" w:eastAsia="Arial" w:hAnsi="Arial"/>
          <w:color w:val="000000"/>
          <w:sz w:val="20"/>
          <w:szCs w:val="20"/>
          <w:highlight w:val="yellow"/>
          <w:rtl w:val="0"/>
        </w:rPr>
        <w:t xml:space="preserve">Pozn. informace budou doplněny dle Prohlášení vlastníka a dle aktuálního stavu zápisu v katastru nemovitostí v době podpisu Kupní smlouvy.</w:t>
      </w:r>
      <w:r w:rsidDel="00000000" w:rsidR="00000000" w:rsidRPr="00000000">
        <w:rPr>
          <w:rtl w:val="0"/>
        </w:rPr>
      </w:r>
    </w:p>
    <w:p w:rsidR="00000000" w:rsidDel="00000000" w:rsidP="00000000" w:rsidRDefault="00000000" w:rsidRPr="00000000" w14:paraId="0000007B">
      <w:pPr>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C">
      <w:pPr>
        <w:numPr>
          <w:ilvl w:val="1"/>
          <w:numId w:val="13"/>
        </w:numPr>
        <w:pBdr>
          <w:top w:space="0" w:sz="0" w:val="nil"/>
          <w:left w:space="0" w:sz="0" w:val="nil"/>
          <w:bottom w:space="0" w:sz="0" w:val="nil"/>
          <w:right w:space="0" w:sz="0" w:val="nil"/>
          <w:between w:space="0" w:sz="0" w:val="nil"/>
        </w:pBdr>
        <w:ind w:left="709" w:hanging="709"/>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byla mezi Prodávajícím jako Budoucím prodávajícím na straně jedné a Kupujícím jako Budoucím kupujícím na straně druhé uzavřena Smlouva o smlouvě budoucí kupní č.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(dále jen „</w:t>
      </w:r>
      <w:r w:rsidDel="00000000" w:rsidR="00000000" w:rsidRPr="00000000">
        <w:rPr>
          <w:rFonts w:ascii="Arial" w:cs="Arial" w:eastAsia="Arial" w:hAnsi="Arial"/>
          <w:b w:val="1"/>
          <w:bCs w:val="1"/>
          <w:color w:val="000000"/>
          <w:sz w:val="20"/>
          <w:szCs w:val="20"/>
          <w:rtl w:val="0"/>
        </w:rPr>
        <w:t xml:space="preserve">SOSBK</w:t>
      </w:r>
      <w:r w:rsidDel="00000000" w:rsidR="00000000" w:rsidRPr="00000000">
        <w:rPr>
          <w:rFonts w:ascii="Arial" w:cs="Arial" w:eastAsia="Arial" w:hAnsi="Arial"/>
          <w:color w:val="000000"/>
          <w:sz w:val="20"/>
          <w:szCs w:val="20"/>
          <w:rtl w:val="0"/>
        </w:rPr>
        <w:t xml:space="preserve">“), na jejímž základě se Prodávající jakožto Budoucí prodávající a Kupující jako Budoucí kupující zavázali uzavřít kupní smlouvu stran Budoucího předmětu převodu, jak byl tento definován SOSBK. Smluvní strany se s ohledem na uvedené a k naplnění závazků plynoucích z uzavřené SOSBK dohodly na uzavření této Smlouvy o převodu Předmětu převodu, to vše při zohlednění změn, které oproti stavu předpokládanému SOSBK nastaly. Smluvní strany zároveň shodně konstatují, že pokud ustanovení této Smlouvy neodpovídají v některých částech ustanovením SOSBK (či jejím přílohám), pak ujednání obsažená v této Smlouvě mají přednost před ujednáními obsaženými v SOSBK. </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709"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7E">
      <w:pPr>
        <w:numPr>
          <w:ilvl w:val="1"/>
          <w:numId w:val="13"/>
        </w:numPr>
        <w:pBdr>
          <w:top w:space="0" w:sz="0" w:val="nil"/>
          <w:left w:space="0" w:sz="0" w:val="nil"/>
          <w:bottom w:space="0" w:sz="0" w:val="nil"/>
          <w:right w:space="0" w:sz="0" w:val="nil"/>
          <w:between w:space="0" w:sz="0" w:val="nil"/>
        </w:pBdr>
        <w:ind w:left="709" w:hanging="709"/>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Smluvní strany mají zájem na uzavření této Smlouvy, kterou bude převedeno na Kupujícího vlastnické právo k Předmětu převodu, to vše za podmínek dohodnutých dále v této Smlouvě. </w:t>
      </w: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ind w:left="705" w:hanging="705"/>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0">
      <w:pPr>
        <w:numPr>
          <w:ilvl w:val="0"/>
          <w:numId w:val="3"/>
        </w:numPr>
        <w:pBdr>
          <w:top w:space="0" w:sz="0" w:val="nil"/>
          <w:left w:space="0" w:sz="0" w:val="nil"/>
          <w:bottom w:space="0" w:sz="0" w:val="nil"/>
          <w:right w:space="0" w:sz="0" w:val="nil"/>
          <w:between w:space="0" w:sz="0" w:val="nil"/>
        </w:pBdr>
        <w:ind w:left="720" w:hanging="72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smallCaps w:val="1"/>
          <w:color w:val="000000"/>
          <w:sz w:val="20"/>
          <w:szCs w:val="20"/>
          <w:rtl w:val="0"/>
        </w:rPr>
        <w:t xml:space="preserve">PŘEDMĚT PŘEVODU</w:t>
      </w:r>
      <w:r w:rsidDel="00000000" w:rsidR="00000000" w:rsidRPr="00000000">
        <w:rPr>
          <w:rtl w:val="0"/>
        </w:rPr>
      </w:r>
    </w:p>
    <w:p w:rsidR="00000000" w:rsidDel="00000000" w:rsidP="00000000" w:rsidRDefault="00000000" w:rsidRPr="00000000" w14:paraId="0000008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widowControl w:val="0"/>
        <w:numPr>
          <w:ilvl w:val="1"/>
          <w:numId w:val="18"/>
        </w:numPr>
        <w:pBdr>
          <w:top w:space="0" w:sz="0" w:val="nil"/>
          <w:left w:space="0" w:sz="0" w:val="nil"/>
          <w:bottom w:space="0" w:sz="0" w:val="nil"/>
          <w:right w:space="0" w:sz="0" w:val="nil"/>
          <w:between w:space="0" w:sz="0" w:val="nil"/>
        </w:pBdr>
        <w:ind w:left="72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se touto Smlouvou zavazuje Kupujícímu předat a umožnit mu nabýt vlastnické právo k Předmětu převodu, a tedy touto Smlouvou Prodávající prodává Předmět převodu a převádí své vlastnické právo k Předmětu převodu na Kupujícího se všemi součástmi a příslušenstvím a právy a povinnostmi s Předmětem převodu spojenými. Kupující tento Předmět převodu se všemi součástmi a příslušenstvím a právy a povinnostmi s Předmětem převodu spojenými od Prodávajícího kupuje do </w:t>
      </w:r>
      <w:r w:rsidDel="00000000" w:rsidR="00000000" w:rsidRPr="00000000">
        <w:rPr>
          <w:rFonts w:ascii="Arial" w:cs="Arial" w:eastAsia="Arial" w:hAnsi="Arial"/>
          <w:color w:val="000000"/>
          <w:sz w:val="20"/>
          <w:szCs w:val="20"/>
          <w:highlight w:val="yellow"/>
          <w:rtl w:val="0"/>
        </w:rPr>
        <w:t xml:space="preserve">svého výlučného vlastnictví / společného jmění manželů / podílového spoluvlastnictví</w:t>
      </w:r>
      <w:r w:rsidDel="00000000" w:rsidR="00000000" w:rsidRPr="00000000">
        <w:rPr>
          <w:rFonts w:ascii="Arial" w:cs="Arial" w:eastAsia="Arial" w:hAnsi="Arial"/>
          <w:color w:val="000000"/>
          <w:sz w:val="20"/>
          <w:szCs w:val="20"/>
          <w:rtl w:val="0"/>
        </w:rPr>
        <w:t xml:space="preserve">, zavazuje se jej převzít a zaplatit za něj kupní cenu, jak je tato dohodnuta v čl. 4. této Smlouvy.</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ind w:left="720" w:hanging="720"/>
        <w:jc w:val="both"/>
        <w:rPr>
          <w:rFonts w:ascii="Arial" w:cs="Arial" w:eastAsia="Arial" w:hAnsi="Arial"/>
          <w:b w:val="1"/>
          <w:bCs w:val="1"/>
          <w:smallCaps w:val="1"/>
          <w:color w:val="000000"/>
          <w:sz w:val="20"/>
          <w:szCs w:val="20"/>
        </w:rPr>
      </w:pPr>
      <w:r w:rsidDel="00000000" w:rsidR="00000000" w:rsidRPr="00000000">
        <w:rPr>
          <w:rFonts w:ascii="Arial" w:cs="Arial" w:eastAsia="Arial" w:hAnsi="Arial"/>
          <w:b w:val="1"/>
          <w:bCs w:val="1"/>
          <w:smallCaps w:val="1"/>
          <w:color w:val="000000"/>
          <w:sz w:val="20"/>
          <w:szCs w:val="20"/>
          <w:rtl w:val="0"/>
        </w:rPr>
        <w:t xml:space="preserve">PROHLÁŠENÍ SMLUVNÍCH STRAN</w:t>
      </w:r>
    </w:p>
    <w:p w:rsidR="00000000" w:rsidDel="00000000" w:rsidP="00000000" w:rsidRDefault="00000000" w:rsidRPr="00000000" w14:paraId="0000008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numPr>
          <w:ilvl w:val="1"/>
          <w:numId w:val="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prohlašuje, že na Předmětu převodu neváznou ke dni podpisu této Smlouvy žádné dluhy, zástavní práva, věcná břemena, předkupní práva či jiná věcná práva zřízená ve prospěch třetích osob, ani jiné právní povinnosti nebo práva ve prospěch třetích osob, zejména práva nájmu, bydlení nebo práva výpůjčky, s výjimkou: </w:t>
      </w:r>
    </w:p>
    <w:p w:rsidR="00000000" w:rsidDel="00000000" w:rsidP="00000000" w:rsidRDefault="00000000" w:rsidRPr="00000000" w14:paraId="00000087">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8">
      <w:pPr>
        <w:numPr>
          <w:ilvl w:val="2"/>
          <w:numId w:val="2"/>
        </w:numPr>
        <w:pBdr>
          <w:top w:space="0" w:sz="0" w:val="nil"/>
          <w:left w:space="0" w:sz="0" w:val="nil"/>
          <w:bottom w:space="0" w:sz="0" w:val="nil"/>
          <w:right w:space="0" w:sz="0" w:val="nil"/>
          <w:between w:space="0" w:sz="0" w:val="nil"/>
        </w:pBdr>
        <w:ind w:left="709"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zástavního práva smluvního a zápisů s ním souvisejících zřízených ve prospěch České spořitelny, a.s., IČO 452 44 782, se sídlem Praha 4, Olbrachtova 1929/62, PSČ 140 00 (dále jen „</w:t>
      </w:r>
      <w:r w:rsidDel="00000000" w:rsidR="00000000" w:rsidRPr="00000000">
        <w:rPr>
          <w:rFonts w:ascii="Arial" w:cs="Arial" w:eastAsia="Arial" w:hAnsi="Arial"/>
          <w:b w:val="1"/>
          <w:bCs w:val="1"/>
          <w:color w:val="000000"/>
          <w:sz w:val="20"/>
          <w:szCs w:val="20"/>
          <w:rtl w:val="0"/>
        </w:rPr>
        <w:t xml:space="preserve">Financující banka</w:t>
      </w:r>
      <w:r w:rsidDel="00000000" w:rsidR="00000000" w:rsidRPr="00000000">
        <w:rPr>
          <w:rFonts w:ascii="Arial" w:cs="Arial" w:eastAsia="Arial" w:hAnsi="Arial"/>
          <w:color w:val="000000"/>
          <w:sz w:val="20"/>
          <w:szCs w:val="20"/>
          <w:rtl w:val="0"/>
        </w:rPr>
        <w:t xml:space="preserve">“) zapsaných v katastru nemovitostí pod spis. zn. V-2667/2025-231 (dále jen „</w:t>
      </w:r>
      <w:r w:rsidDel="00000000" w:rsidR="00000000" w:rsidRPr="00000000">
        <w:rPr>
          <w:rFonts w:ascii="Arial" w:cs="Arial" w:eastAsia="Arial" w:hAnsi="Arial"/>
          <w:b w:val="1"/>
          <w:bCs w:val="1"/>
          <w:color w:val="000000"/>
          <w:sz w:val="20"/>
          <w:szCs w:val="20"/>
          <w:rtl w:val="0"/>
        </w:rPr>
        <w:t xml:space="preserve">Zástavní právo Financující banky</w:t>
      </w:r>
      <w:r w:rsidDel="00000000" w:rsidR="00000000" w:rsidRPr="00000000">
        <w:rPr>
          <w:rFonts w:ascii="Arial" w:cs="Arial" w:eastAsia="Arial" w:hAnsi="Arial"/>
          <w:color w:val="000000"/>
          <w:sz w:val="20"/>
          <w:szCs w:val="20"/>
          <w:rtl w:val="0"/>
        </w:rPr>
        <w:t xml:space="preserve">“); Kupující prohlašuje, že je s uvedeným omezením a zatížením Předmětu převodu seznámen; </w:t>
      </w:r>
    </w:p>
    <w:p w:rsidR="00000000" w:rsidDel="00000000" w:rsidP="00000000" w:rsidRDefault="00000000" w:rsidRPr="00000000" w14:paraId="00000089">
      <w:pPr>
        <w:ind w:left="708"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Prodávající se zavazuje zajistit na své náklady výmaz Zástavního práva Financující banky z příslušného listu vlastnictví vztahujícího se k Předmětu převodu nejpozději do 3 (slovy: tří) kalendářních měsíců ode dne provedení vkladu vlastnického práva k Předmětu převodu ve prospěch Kupujícího dle této Smlouvy do katastru nemovitostí. </w:t>
      </w:r>
    </w:p>
    <w:p w:rsidR="00000000" w:rsidDel="00000000" w:rsidP="00000000" w:rsidRDefault="00000000" w:rsidRPr="00000000" w14:paraId="0000008B">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C">
      <w:pPr>
        <w:numPr>
          <w:ilvl w:val="2"/>
          <w:numId w:val="2"/>
        </w:numPr>
        <w:pBdr>
          <w:top w:space="0" w:sz="0" w:val="nil"/>
          <w:left w:space="0" w:sz="0" w:val="nil"/>
          <w:bottom w:space="0" w:sz="0" w:val="nil"/>
          <w:right w:space="0" w:sz="0" w:val="nil"/>
          <w:between w:space="0" w:sz="0" w:val="nil"/>
        </w:pBdr>
        <w:ind w:left="709"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highlight w:val="yellow"/>
          <w:rtl w:val="0"/>
        </w:rPr>
        <w:t xml:space="preserve">práv třetích osob dle odst. 6.6 SOSBK (bude doplněno dle listu vlastnictví aktuálního v době podpisu Smlouvy)</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8D">
      <w:pPr>
        <w:ind w:left="705" w:hanging="70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E">
      <w:pPr>
        <w:ind w:left="705"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Kupující prohlašuje, že je s výše v tomto odstavci uvedenými zatíženími a omezeními Předmětu převodu srozuměn a s těmito Předmět převodu nabývá do </w:t>
      </w:r>
      <w:r w:rsidDel="00000000" w:rsidR="00000000" w:rsidRPr="00000000">
        <w:rPr>
          <w:rFonts w:ascii="Arial" w:cs="Arial" w:eastAsia="Arial" w:hAnsi="Arial"/>
          <w:sz w:val="20"/>
          <w:szCs w:val="20"/>
          <w:highlight w:val="yellow"/>
          <w:rtl w:val="0"/>
        </w:rPr>
        <w:t xml:space="preserve">svého výlučného vlastnictví / společného jmění manželů / podílového spoluvlastnictví</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F">
      <w:pPr>
        <w:ind w:left="705" w:hanging="70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numPr>
          <w:ilvl w:val="2"/>
          <w:numId w:val="2"/>
        </w:numPr>
        <w:pBdr>
          <w:top w:space="0" w:sz="0" w:val="nil"/>
          <w:left w:space="0" w:sz="0" w:val="nil"/>
          <w:bottom w:space="0" w:sz="0" w:val="nil"/>
          <w:right w:space="0" w:sz="0" w:val="nil"/>
          <w:between w:space="0" w:sz="0" w:val="nil"/>
        </w:pBdr>
        <w:ind w:left="709" w:hanging="720"/>
        <w:jc w:val="both"/>
        <w:rPr>
          <w:rFonts w:ascii="Arial" w:cs="Arial" w:eastAsia="Arial" w:hAnsi="Arial"/>
          <w:color w:val="000000"/>
          <w:sz w:val="20"/>
          <w:szCs w:val="20"/>
          <w:highlight w:val="yellow"/>
        </w:rPr>
      </w:pPr>
      <w:bookmarkStart w:colFirst="0" w:colLast="0" w:name="_heading=h.w92v9l35zu4q" w:id="2"/>
      <w:bookmarkEnd w:id="2"/>
      <w:r w:rsidDel="00000000" w:rsidR="00000000" w:rsidRPr="00000000">
        <w:rPr>
          <w:rFonts w:ascii="Arial" w:cs="Arial" w:eastAsia="Arial" w:hAnsi="Arial"/>
          <w:color w:val="000000"/>
          <w:sz w:val="20"/>
          <w:szCs w:val="20"/>
          <w:highlight w:val="yellow"/>
          <w:rtl w:val="0"/>
        </w:rPr>
        <w:t xml:space="preserve">zástavního práva smluvního a případných zápisů a omezení s ním souvisejících zřízeného Prodávajícím před podpisem této Smlouvy ve prospěch (  ), se sídlem (  ), IČO: (  ) (dále jen „</w:t>
      </w:r>
      <w:r w:rsidDel="00000000" w:rsidR="00000000" w:rsidRPr="00000000">
        <w:rPr>
          <w:rFonts w:ascii="Arial" w:cs="Arial" w:eastAsia="Arial" w:hAnsi="Arial"/>
          <w:b w:val="1"/>
          <w:bCs w:val="1"/>
          <w:color w:val="000000"/>
          <w:sz w:val="20"/>
          <w:szCs w:val="20"/>
          <w:highlight w:val="yellow"/>
          <w:rtl w:val="0"/>
        </w:rPr>
        <w:t xml:space="preserve">Úvěrová instituce</w:t>
      </w:r>
      <w:r w:rsidDel="00000000" w:rsidR="00000000" w:rsidRPr="00000000">
        <w:rPr>
          <w:rFonts w:ascii="Arial" w:cs="Arial" w:eastAsia="Arial" w:hAnsi="Arial"/>
          <w:color w:val="000000"/>
          <w:sz w:val="20"/>
          <w:szCs w:val="20"/>
          <w:highlight w:val="yellow"/>
          <w:rtl w:val="0"/>
        </w:rPr>
        <w:t xml:space="preserve">“) na základě smlouvy o zřízení zástavního práva k nemovitostem uzavřené pod č. (  ) sloužící k zajištění pohledávky Úvěrové instituce za Kupujícím vzniklé na základě smlouvy o poskytnutí hypotečního úvěru ve výši (  ),- Kč (slovy: (  ) korun českých) uzavřené mezi Úvěrovou institucí a Kupujícím pod č. (  ). Kupující se zavazuje úvěr použít na úhradu příslušné části kupní ceny Předmětu převodu.</w:t>
      </w:r>
    </w:p>
    <w:p w:rsidR="00000000" w:rsidDel="00000000" w:rsidP="00000000" w:rsidRDefault="00000000" w:rsidRPr="00000000" w14:paraId="00000091">
      <w:pPr>
        <w:ind w:left="705" w:hanging="705"/>
        <w:jc w:val="both"/>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92">
      <w:pPr>
        <w:ind w:left="705" w:firstLine="0"/>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Podání návrhu na vklad zástavního práva smluvního dle tohoto odstavce si zajistí Kupující, který rovněž nese veškeré náklady spojené se zřízením zástavního práva smluvního k Předmětu převodu ve prospěch Úvěrové instituce. Kupující se zavazuje podat návrh na vklad zástavního práva smluvního dle tohoto odstavce bez zbytečného odkladu poté, co bude Kupujícím v souladu s touto Smlouvou zaplacena část kupní ceny Předmětu převodu hrazená Kupujícím z jeho vlastních zdrojů.</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3">
      <w:pPr>
        <w:ind w:left="70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4">
      <w:pPr>
        <w:ind w:left="705"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Kupující prohlašuje, že je s výše v tomto odstavci uvedeným zatížením a omezením Předmětu převodu srozuměn a s tímto Předmět převodu nabývá do </w:t>
      </w:r>
      <w:r w:rsidDel="00000000" w:rsidR="00000000" w:rsidRPr="00000000">
        <w:rPr>
          <w:rFonts w:ascii="Arial" w:cs="Arial" w:eastAsia="Arial" w:hAnsi="Arial"/>
          <w:sz w:val="20"/>
          <w:szCs w:val="20"/>
          <w:highlight w:val="yellow"/>
          <w:rtl w:val="0"/>
        </w:rPr>
        <w:t xml:space="preserve">svého výlučného vlastnictví / společného jmění manželů / podílového spoluvlastnictví</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5">
      <w:pPr>
        <w:ind w:left="705" w:hanging="70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ind w:left="709" w:firstLine="0"/>
        <w:jc w:val="both"/>
        <w:rPr>
          <w:rFonts w:ascii="Arial" w:cs="Arial" w:eastAsia="Arial" w:hAnsi="Arial"/>
          <w:b w:val="1"/>
          <w:bCs w:val="1"/>
          <w:color w:val="000000"/>
          <w:sz w:val="20"/>
          <w:szCs w:val="20"/>
          <w:highlight w:val="yellow"/>
          <w:u w:val="single"/>
        </w:rPr>
      </w:pPr>
      <w:r w:rsidDel="00000000" w:rsidR="00000000" w:rsidRPr="00000000">
        <w:rPr>
          <w:rFonts w:ascii="Arial" w:cs="Arial" w:eastAsia="Arial" w:hAnsi="Arial"/>
          <w:color w:val="000000"/>
          <w:sz w:val="20"/>
          <w:szCs w:val="20"/>
          <w:highlight w:val="yellow"/>
          <w:rtl w:val="0"/>
        </w:rPr>
        <w:t xml:space="preserve">Pozn. ustanovení (v tomto odstavci a dále v této Smlouvě) týkající se zástavního práva Úvěrové instituce se použijí, bude-li Kupující financovat Kupní cenu, resp. její část formou hypotečního úvěru zajištěného zástavním právem zřízeným k Předmětu převodu. </w:t>
      </w:r>
      <w:r w:rsidDel="00000000" w:rsidR="00000000" w:rsidRPr="00000000">
        <w:rPr>
          <w:rtl w:val="0"/>
        </w:rPr>
      </w:r>
    </w:p>
    <w:p w:rsidR="00000000" w:rsidDel="00000000" w:rsidP="00000000" w:rsidRDefault="00000000" w:rsidRPr="00000000" w14:paraId="00000097">
      <w:pPr>
        <w:ind w:left="705" w:hanging="70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8">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w:t>
      </w:r>
      <w:r w:rsidDel="00000000" w:rsidR="00000000" w:rsidRPr="00000000">
        <w:rPr>
          <w:rFonts w:ascii="Arial" w:cs="Arial" w:eastAsia="Arial" w:hAnsi="Arial"/>
          <w:color w:val="000000"/>
          <w:sz w:val="20"/>
          <w:szCs w:val="20"/>
          <w:highlight w:val="yellow"/>
          <w:rtl w:val="0"/>
        </w:rPr>
        <w:t xml:space="preserve">(každý účastník na této Smluvní straně)</w:t>
      </w:r>
      <w:r w:rsidDel="00000000" w:rsidR="00000000" w:rsidRPr="00000000">
        <w:rPr>
          <w:rFonts w:ascii="Arial" w:cs="Arial" w:eastAsia="Arial" w:hAnsi="Arial"/>
          <w:color w:val="000000"/>
          <w:sz w:val="20"/>
          <w:szCs w:val="20"/>
          <w:rtl w:val="0"/>
        </w:rPr>
        <w:t xml:space="preserve"> prohlašuje, že (i) je plně svéprávný, že (ii) mu nejsou mu známy žádné okolnosti, které by bránily převodu vlastnického práva k Předmětu převodu na něj, je oprávněn tuto Smlouvu uzavřít a plnit závazky v ní obsažené, zejména neexistuje žádný závazek vůči jiné třetí osobě, ani nárok státu, finančního úřadu nebo jiného orgánu státní správy nebo samosprávy, který by Kupujícímu bránil uzavřít a plnit tuto Smlouvu, že (iii) ke dni uzavření této Smlouvy nebylo vůči němu zahájeno insolvenční řízení a ani se nenachází ve finanční situaci, která by vedla nebo mohla vést ke zjištění úpadku, že (iv) proti němu není vedena exekuce ani výkon rozhodnutí a není mu známa žádná skutečnost, která by mohla vést k zahájení těchto řízení, a že vůči němu neexistuje žádné vykonatelné rozhodnutí orgánu veřejné moci či jakýkoliv jiný exekuční titul, a že (v) k uzavření ani plnění této Smlouvy není třeba žádných souhlasů či schválení ze strany jiných osob ani není třeba žádných správních ani jiných veřejnoprávních povolení, oznámení, souhlasů či schválení, jejichž nedostatek by způsoboval neplatnost této Smlouvy.</w:t>
      </w:r>
    </w:p>
    <w:p w:rsidR="00000000" w:rsidDel="00000000" w:rsidP="00000000" w:rsidRDefault="00000000" w:rsidRPr="00000000" w14:paraId="0000009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A">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prohlašuje, že si Předmět převodu včetně všech jeho součástí a příslušenství řádně osobně prohlédl, je mu znám na základě této prohlídky současný faktický stav Předmětu převodu včetně jeho součástí a příslušenství, přístup k němu a ostatní faktické podmínky panující v okolí Předmětu převodu, a jako takový shledal Předmět převodu odpovídající sjednané kupní ceně a vyhovující svým záměrům. Kupující prohlašuje, že je mu znám a je srozuměn s právním stavem Předmětu převodu, jak je tento popsán v této Smlouvě a dále plyne z veřejného seznamu vedeného Katastrálním úřadem. Kupující prohlašuje, že si nevymínil žádné určité vlastnosti Předmětu převodu a v tom stavu, v jakém se Předmět převodu nachází ke dni uzavření této Smlouvy, jej kupuje a přijímá do </w:t>
      </w:r>
      <w:r w:rsidDel="00000000" w:rsidR="00000000" w:rsidRPr="00000000">
        <w:rPr>
          <w:rFonts w:ascii="Arial" w:cs="Arial" w:eastAsia="Arial" w:hAnsi="Arial"/>
          <w:color w:val="000000"/>
          <w:sz w:val="20"/>
          <w:szCs w:val="20"/>
          <w:highlight w:val="yellow"/>
          <w:rtl w:val="0"/>
        </w:rPr>
        <w:t xml:space="preserve">svého výlučného vlastnictví / společného jmění manželů / podílového spoluvlastnictví</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9B">
      <w:pPr>
        <w:ind w:left="705" w:hanging="70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C">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se zavazuje Předmět převodu odevzdat Kupujícímu a Kupující se zavazuje Předmět převodu od Prodávajícího převzít v den určený Prodávajícím s tím, že den odevzdání a převzetí Předmětu převodu bude Prodávajícím určen nejpozději do 10 (slovy: deseti) pracovních dnů ode dne uzavření této Smlouvy. O odevzdání a převzetí bude mezi Smluvními stranami sepsán předávací protokol, jehož součástí budou:</w:t>
      </w:r>
    </w:p>
    <w:p w:rsidR="00000000" w:rsidDel="00000000" w:rsidP="00000000" w:rsidRDefault="00000000" w:rsidRPr="00000000" w14:paraId="0000009D">
      <w:pPr>
        <w:numPr>
          <w:ilvl w:val="0"/>
          <w:numId w:val="19"/>
        </w:numPr>
        <w:pBdr>
          <w:top w:space="0" w:sz="0" w:val="nil"/>
          <w:left w:space="0" w:sz="0" w:val="nil"/>
          <w:bottom w:space="0" w:sz="0" w:val="nil"/>
          <w:right w:space="0" w:sz="0" w:val="nil"/>
          <w:between w:space="0" w:sz="0" w:val="nil"/>
        </w:pBdr>
        <w:ind w:left="1134" w:hanging="425"/>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stavy měřících zařízení, s nimiž bude uskutečněn převod měřících zařízení a odběru na Kupujícího, a s nimiž bude provedeno vypořádání případných přeplatků a nedoplatků na spotřebě médií;</w:t>
      </w:r>
    </w:p>
    <w:p w:rsidR="00000000" w:rsidDel="00000000" w:rsidP="00000000" w:rsidRDefault="00000000" w:rsidRPr="00000000" w14:paraId="0000009E">
      <w:pPr>
        <w:pBdr>
          <w:top w:space="0" w:sz="0" w:val="nil"/>
          <w:left w:space="0" w:sz="0" w:val="nil"/>
          <w:bottom w:space="0" w:sz="0" w:val="nil"/>
          <w:right w:space="0" w:sz="0" w:val="nil"/>
          <w:between w:space="0" w:sz="0" w:val="nil"/>
        </w:pBdr>
        <w:ind w:left="1134" w:hanging="425"/>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dále </w:t>
      </w:r>
    </w:p>
    <w:p w:rsidR="00000000" w:rsidDel="00000000" w:rsidP="00000000" w:rsidRDefault="00000000" w:rsidRPr="00000000" w14:paraId="0000009F">
      <w:pPr>
        <w:numPr>
          <w:ilvl w:val="0"/>
          <w:numId w:val="19"/>
        </w:numPr>
        <w:pBdr>
          <w:top w:space="0" w:sz="0" w:val="nil"/>
          <w:left w:space="0" w:sz="0" w:val="nil"/>
          <w:bottom w:space="0" w:sz="0" w:val="nil"/>
          <w:right w:space="0" w:sz="0" w:val="nil"/>
          <w:between w:space="0" w:sz="0" w:val="nil"/>
        </w:pBdr>
        <w:ind w:left="1134" w:hanging="425"/>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případně zjištěné vady a/nebo nedodělky Předmětu převodu, které se Prodávající zaváže odstranit ve lhůtě uvedené v předávacím protokolu (jinak nejpozději v technicky a technologicky nejkratším termínu). </w:t>
      </w:r>
    </w:p>
    <w:p w:rsidR="00000000" w:rsidDel="00000000" w:rsidP="00000000" w:rsidRDefault="00000000" w:rsidRPr="00000000" w14:paraId="000000A0">
      <w:pPr>
        <w:ind w:left="705" w:hanging="705"/>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ind w:left="705"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Kupující bere na vědomí, že není oprávněn provádět žádné úpravy Předmětu převodu do doby, než bude Katastrálním úřadem proveden vklad vlastnického práva podle této Smlouvy ve prospěch Kupujícího. Smluvní strany se dále dohodly, že pokud Kupující nepřevezme Předmět převodu v den určený Prodávajícím či k předání Předmětu převodu v den určený Prodávajícím nedojde z důvodů na straně Kupujícího, považuje se Předmět převodu za předaný dnem následujícím po marném uplynutí dne určeného Prodávajícím k převzetí Předmětu převodu. </w:t>
      </w:r>
    </w:p>
    <w:p w:rsidR="00000000" w:rsidDel="00000000" w:rsidP="00000000" w:rsidRDefault="00000000" w:rsidRPr="00000000" w14:paraId="000000A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3">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prohlašuje, že při podpisu této Smlouvy obdržel od Prodávajícího daňový doklad, kterým Prodávající přeúčtoval Kupujícímu náklady spojené s osazením Jednotky elektroměrem a s rezervací příkonu pro Jednotku. Kupující je srozuměn s tím, že řádná úhrada předmětného daňového dokladu je předpokladem převodu měřícího zařízení a odběru el. energie na Kupujícího. V případě, že předmětný daňový doklad nebude Kupujícím v době jeho splatnosti řádně uhrazen, vystavuje se Kupující nebezpečí odpojení elektroměru a ukončení odběru el. energie. </w:t>
      </w:r>
    </w:p>
    <w:p w:rsidR="00000000" w:rsidDel="00000000" w:rsidP="00000000" w:rsidRDefault="00000000" w:rsidRPr="00000000" w14:paraId="000000A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5">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je povinen od okamžiku, kdy mu bude Předmět převodu dán do užívání hradit náklady spojené s užíváním, správou, provozem, opravami, úpravami a údržbou Předmětu převodu a společných částí nemovité věci v souladu s příslušnými ustanoveními Prohlášení vlastníka a/nebo stanov příslušného společenství vlastníků jednotek. </w:t>
      </w:r>
    </w:p>
    <w:p w:rsidR="00000000" w:rsidDel="00000000" w:rsidP="00000000" w:rsidRDefault="00000000" w:rsidRPr="00000000" w14:paraId="000000A6">
      <w:pPr>
        <w:pBdr>
          <w:top w:space="0" w:sz="0" w:val="nil"/>
          <w:left w:space="0" w:sz="0" w:val="nil"/>
          <w:bottom w:space="0" w:sz="0" w:val="nil"/>
          <w:right w:space="0" w:sz="0" w:val="nil"/>
          <w:between w:space="0" w:sz="0" w:val="nil"/>
        </w:pBdr>
        <w:ind w:left="708" w:firstLine="0"/>
        <w:rPr>
          <w:color w:val="000000"/>
        </w:rPr>
      </w:pPr>
      <w:r w:rsidDel="00000000" w:rsidR="00000000" w:rsidRPr="00000000">
        <w:rPr>
          <w:rtl w:val="0"/>
        </w:rPr>
      </w:r>
    </w:p>
    <w:p w:rsidR="00000000" w:rsidDel="00000000" w:rsidP="00000000" w:rsidRDefault="00000000" w:rsidRPr="00000000" w14:paraId="000000A7">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Dle ust. § 1186 </w:t>
        <w:tab/>
        <w:t xml:space="preserve">občanského zákoníku Prodávající předal Kupujícímu před podpisem této Smlouvy potvrzení od osoby zodpovědné za správu domu o dluzích souvisejících se správou bytového domu a pozemku, které přejdou na Kupujícího, resp. potvrzení, že takové dluhy nejsou. </w:t>
      </w:r>
    </w:p>
    <w:p w:rsidR="00000000" w:rsidDel="00000000" w:rsidP="00000000" w:rsidRDefault="00000000" w:rsidRPr="00000000" w14:paraId="000000A8">
      <w:pPr>
        <w:pBdr>
          <w:top w:space="0" w:sz="0" w:val="nil"/>
          <w:left w:space="0" w:sz="0" w:val="nil"/>
          <w:bottom w:space="0" w:sz="0" w:val="nil"/>
          <w:right w:space="0" w:sz="0" w:val="nil"/>
          <w:between w:space="0" w:sz="0" w:val="nil"/>
        </w:pBdr>
        <w:ind w:left="708" w:firstLine="0"/>
        <w:rPr>
          <w:color w:val="000000"/>
        </w:rPr>
      </w:pPr>
      <w:r w:rsidDel="00000000" w:rsidR="00000000" w:rsidRPr="00000000">
        <w:rPr>
          <w:rtl w:val="0"/>
        </w:rPr>
      </w:r>
    </w:p>
    <w:p w:rsidR="00000000" w:rsidDel="00000000" w:rsidP="00000000" w:rsidRDefault="00000000" w:rsidRPr="00000000" w14:paraId="000000A9">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před podpisem této Smlouvy předal Kupujícímu průkaz energetické náročnosti dle ustanovení § 7a odst. 3 písm. b) bod 1. zákona č. 406/2000 Sb., o hospodaření energií, v platném znění. </w:t>
      </w:r>
    </w:p>
    <w:p w:rsidR="00000000" w:rsidDel="00000000" w:rsidP="00000000" w:rsidRDefault="00000000" w:rsidRPr="00000000" w14:paraId="000000AA">
      <w:pPr>
        <w:pBdr>
          <w:top w:space="0" w:sz="0" w:val="nil"/>
          <w:left w:space="0" w:sz="0" w:val="nil"/>
          <w:bottom w:space="0" w:sz="0" w:val="nil"/>
          <w:right w:space="0" w:sz="0" w:val="nil"/>
          <w:between w:space="0" w:sz="0" w:val="nil"/>
        </w:pBdr>
        <w:ind w:left="708" w:firstLine="0"/>
        <w:rPr>
          <w:color w:val="000000"/>
        </w:rPr>
      </w:pPr>
      <w:r w:rsidDel="00000000" w:rsidR="00000000" w:rsidRPr="00000000">
        <w:rPr>
          <w:rtl w:val="0"/>
        </w:rPr>
      </w:r>
    </w:p>
    <w:p w:rsidR="00000000" w:rsidDel="00000000" w:rsidP="00000000" w:rsidRDefault="00000000" w:rsidRPr="00000000" w14:paraId="000000AB">
      <w:pPr>
        <w:numPr>
          <w:ilvl w:val="1"/>
          <w:numId w:val="1"/>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prohlašují, že uzavřením této Smlouvy jsou jejich veškerá práva a povinnosti z SOSBK, jakož i nároky z titulu smluvních pokut či náhrady škody, příp. jiné nároky, vzájemně vypořádány.</w:t>
      </w:r>
    </w:p>
    <w:p w:rsidR="00000000" w:rsidDel="00000000" w:rsidP="00000000" w:rsidRDefault="00000000" w:rsidRPr="00000000" w14:paraId="000000AC">
      <w:pPr>
        <w:pBdr>
          <w:top w:space="0" w:sz="0" w:val="nil"/>
          <w:left w:space="0" w:sz="0" w:val="nil"/>
          <w:bottom w:space="0" w:sz="0" w:val="nil"/>
          <w:right w:space="0" w:sz="0" w:val="nil"/>
          <w:between w:space="0" w:sz="0" w:val="nil"/>
        </w:pBdr>
        <w:ind w:left="708" w:firstLine="0"/>
        <w:rPr>
          <w:color w:val="000000"/>
        </w:rPr>
      </w:pPr>
      <w:r w:rsidDel="00000000" w:rsidR="00000000" w:rsidRPr="00000000">
        <w:rPr>
          <w:rtl w:val="0"/>
        </w:rPr>
      </w:r>
    </w:p>
    <w:p w:rsidR="00000000" w:rsidDel="00000000" w:rsidP="00000000" w:rsidRDefault="00000000" w:rsidRPr="00000000" w14:paraId="000000AD">
      <w:pPr>
        <w:numPr>
          <w:ilvl w:val="0"/>
          <w:numId w:val="3"/>
        </w:numPr>
        <w:pBdr>
          <w:top w:space="0" w:sz="0" w:val="nil"/>
          <w:left w:space="0" w:sz="0" w:val="nil"/>
          <w:bottom w:space="0" w:sz="0" w:val="nil"/>
          <w:right w:space="0" w:sz="0" w:val="nil"/>
          <w:between w:space="0" w:sz="0" w:val="nil"/>
        </w:pBdr>
        <w:ind w:left="720" w:hanging="72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smallCaps w:val="1"/>
          <w:color w:val="000000"/>
          <w:sz w:val="20"/>
          <w:szCs w:val="20"/>
          <w:rtl w:val="0"/>
        </w:rPr>
        <w:t xml:space="preserve">KUPNÍ CENA</w:t>
      </w:r>
      <w:r w:rsidDel="00000000" w:rsidR="00000000" w:rsidRPr="00000000">
        <w:rPr>
          <w:rtl w:val="0"/>
        </w:rPr>
      </w:r>
    </w:p>
    <w:p w:rsidR="00000000" w:rsidDel="00000000" w:rsidP="00000000" w:rsidRDefault="00000000" w:rsidRPr="00000000" w14:paraId="000000A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F">
      <w:pPr>
        <w:numPr>
          <w:ilvl w:val="1"/>
          <w:numId w:val="16"/>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se dohodly, že cena za Předmět převodu se všemi součástmi a příslušenstvím, a se všemi právy a povinnostmi je určena smluvně ve výši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Kč</w:t>
      </w:r>
      <w:r w:rsidDel="00000000" w:rsidR="00000000" w:rsidRPr="00000000">
        <w:rPr>
          <w:rFonts w:ascii="Arial" w:cs="Arial" w:eastAsia="Arial" w:hAnsi="Arial"/>
          <w:color w:val="000000"/>
          <w:sz w:val="20"/>
          <w:szCs w:val="20"/>
          <w:rtl w:val="0"/>
        </w:rPr>
        <w:t xml:space="preserve"> (slovy: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(dále jen „</w:t>
      </w:r>
      <w:r w:rsidDel="00000000" w:rsidR="00000000" w:rsidRPr="00000000">
        <w:rPr>
          <w:rFonts w:ascii="Arial" w:cs="Arial" w:eastAsia="Arial" w:hAnsi="Arial"/>
          <w:b w:val="1"/>
          <w:bCs w:val="1"/>
          <w:color w:val="000000"/>
          <w:sz w:val="20"/>
          <w:szCs w:val="20"/>
          <w:rtl w:val="0"/>
        </w:rPr>
        <w:t xml:space="preserve">Kupní</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cena</w:t>
      </w:r>
      <w:r w:rsidDel="00000000" w:rsidR="00000000" w:rsidRPr="00000000">
        <w:rPr>
          <w:rFonts w:ascii="Arial" w:cs="Arial" w:eastAsia="Arial" w:hAnsi="Arial"/>
          <w:color w:val="000000"/>
          <w:sz w:val="20"/>
          <w:szCs w:val="20"/>
          <w:rtl w:val="0"/>
        </w:rPr>
        <w:t xml:space="preserve">“), přičemž:</w:t>
      </w:r>
    </w:p>
    <w:p w:rsidR="00000000" w:rsidDel="00000000" w:rsidP="00000000" w:rsidRDefault="00000000" w:rsidRPr="00000000" w14:paraId="000000B0">
      <w:pPr>
        <w:numPr>
          <w:ilvl w:val="0"/>
          <w:numId w:val="7"/>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cena za Jednotku včetně spoluvlastnického podílu na společných částech nemovité věci činí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 </w:t>
      </w:r>
    </w:p>
    <w:p w:rsidR="00000000" w:rsidDel="00000000" w:rsidP="00000000" w:rsidRDefault="00000000" w:rsidRPr="00000000" w14:paraId="000000B1">
      <w:pPr>
        <w:numPr>
          <w:ilvl w:val="0"/>
          <w:numId w:val="7"/>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cena za </w:t>
      </w:r>
      <w:r w:rsidDel="00000000" w:rsidR="00000000" w:rsidRPr="00000000">
        <w:rPr>
          <w:rFonts w:ascii="Arial" w:cs="Arial" w:eastAsia="Arial" w:hAnsi="Arial"/>
          <w:color w:val="000000"/>
          <w:sz w:val="20"/>
          <w:szCs w:val="20"/>
          <w:highlight w:val="yellow"/>
          <w:rtl w:val="0"/>
        </w:rPr>
        <w:t xml:space="preserve">Sklepní kóji</w:t>
      </w:r>
      <w:r w:rsidDel="00000000" w:rsidR="00000000" w:rsidRPr="00000000">
        <w:rPr>
          <w:rFonts w:ascii="Arial" w:cs="Arial" w:eastAsia="Arial" w:hAnsi="Arial"/>
          <w:color w:val="000000"/>
          <w:sz w:val="20"/>
          <w:szCs w:val="20"/>
          <w:rtl w:val="0"/>
        </w:rPr>
        <w:t xml:space="preserve"> činí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w:t>
      </w:r>
    </w:p>
    <w:p w:rsidR="00000000" w:rsidDel="00000000" w:rsidP="00000000" w:rsidRDefault="00000000" w:rsidRPr="00000000" w14:paraId="000000B2">
      <w:pPr>
        <w:numPr>
          <w:ilvl w:val="0"/>
          <w:numId w:val="7"/>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cena za </w:t>
      </w:r>
      <w:r w:rsidDel="00000000" w:rsidR="00000000" w:rsidRPr="00000000">
        <w:rPr>
          <w:rFonts w:ascii="Arial" w:cs="Arial" w:eastAsia="Arial" w:hAnsi="Arial"/>
          <w:color w:val="000000"/>
          <w:sz w:val="20"/>
          <w:szCs w:val="20"/>
          <w:highlight w:val="yellow"/>
          <w:rtl w:val="0"/>
        </w:rPr>
        <w:t xml:space="preserve">Parkovací stání</w:t>
      </w:r>
      <w:r w:rsidDel="00000000" w:rsidR="00000000" w:rsidRPr="00000000">
        <w:rPr>
          <w:rFonts w:ascii="Arial" w:cs="Arial" w:eastAsia="Arial" w:hAnsi="Arial"/>
          <w:color w:val="000000"/>
          <w:sz w:val="20"/>
          <w:szCs w:val="20"/>
          <w:rtl w:val="0"/>
        </w:rPr>
        <w:t xml:space="preserve"> činí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w:t>
      </w:r>
    </w:p>
    <w:p w:rsidR="00000000" w:rsidDel="00000000" w:rsidP="00000000" w:rsidRDefault="00000000" w:rsidRPr="00000000" w14:paraId="000000B3">
      <w:pP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4">
      <w:pPr>
        <w:ind w:left="720" w:firstLine="0"/>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Pozn. v případě, že Prodávající bude v době uzavření smlouvy plátcem daně z přidané hodnoty, bude Kupní cena rozdělena na kupní cenu Předmětu převodu bez DPH a výši DPH platnou ke dni uskutečnění zdanitelného plnění s tím, že celková částka Kupní ceny s nevyčísleným DPH bude stejná jako součet kupní ceny bez DPH a DPH.</w:t>
      </w:r>
      <w:r w:rsidDel="00000000" w:rsidR="00000000" w:rsidRPr="00000000">
        <w:rPr>
          <w:rtl w:val="0"/>
        </w:rPr>
      </w:r>
    </w:p>
    <w:p w:rsidR="00000000" w:rsidDel="00000000" w:rsidP="00000000" w:rsidRDefault="00000000" w:rsidRPr="00000000" w14:paraId="000000B5">
      <w:pP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numPr>
          <w:ilvl w:val="1"/>
          <w:numId w:val="16"/>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Kupní cena bude Kupujícím zaplacena následovně: </w:t>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8">
      <w:pPr>
        <w:numPr>
          <w:ilvl w:val="2"/>
          <w:numId w:val="16"/>
        </w:numPr>
        <w:pBdr>
          <w:top w:space="0" w:sz="0" w:val="nil"/>
          <w:left w:space="0" w:sz="0" w:val="nil"/>
          <w:bottom w:space="0" w:sz="0" w:val="nil"/>
          <w:right w:space="0" w:sz="0" w:val="nil"/>
          <w:between w:space="0" w:sz="0" w:val="nil"/>
        </w:pBdr>
        <w:ind w:left="1418"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část Kupní ceny ve výši </w:t>
      </w:r>
      <w:r w:rsidDel="00000000" w:rsidR="00000000" w:rsidRPr="00000000">
        <w:rPr>
          <w:rFonts w:ascii="Arial" w:cs="Arial" w:eastAsia="Arial" w:hAnsi="Arial"/>
          <w:b w:val="1"/>
          <w:bCs w:val="1"/>
          <w:color w:val="000000"/>
          <w:sz w:val="20"/>
          <w:szCs w:val="20"/>
          <w:rtl w:val="0"/>
        </w:rPr>
        <w:t xml:space="preserve">200.000,- Kč </w:t>
      </w:r>
      <w:r w:rsidDel="00000000" w:rsidR="00000000" w:rsidRPr="00000000">
        <w:rPr>
          <w:rFonts w:ascii="Arial" w:cs="Arial" w:eastAsia="Arial" w:hAnsi="Arial"/>
          <w:color w:val="000000"/>
          <w:sz w:val="20"/>
          <w:szCs w:val="20"/>
          <w:rtl w:val="0"/>
        </w:rPr>
        <w:t xml:space="preserve">(slovy: dvě stě tisíc korun českých) již byla Kupujícím z jeho vlastních prostředků zaplacena před podpisem této Smlouvy na účet Prodávajícího, a to jako 1. záloha na Kupní cenu (rezervační poplatek) dle rezervační smlouvy uzavřené mezi Smluvními stranami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Smluvní strany činí nesporným, že se tato částka v plné výši započítává na Kupní cenu Předmětu převodu; </w:t>
      </w:r>
    </w:p>
    <w:p w:rsidR="00000000" w:rsidDel="00000000" w:rsidP="00000000" w:rsidRDefault="00000000" w:rsidRPr="00000000" w14:paraId="000000B9">
      <w:pPr>
        <w:pBdr>
          <w:top w:space="0" w:sz="0" w:val="nil"/>
          <w:left w:space="0" w:sz="0" w:val="nil"/>
          <w:bottom w:space="0" w:sz="0" w:val="nil"/>
          <w:right w:space="0" w:sz="0" w:val="nil"/>
          <w:between w:space="0" w:sz="0" w:val="nil"/>
        </w:pBdr>
        <w:ind w:left="141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A">
      <w:pPr>
        <w:numPr>
          <w:ilvl w:val="2"/>
          <w:numId w:val="16"/>
        </w:numPr>
        <w:pBdr>
          <w:top w:space="0" w:sz="0" w:val="nil"/>
          <w:left w:space="0" w:sz="0" w:val="nil"/>
          <w:bottom w:space="0" w:sz="0" w:val="nil"/>
          <w:right w:space="0" w:sz="0" w:val="nil"/>
          <w:between w:space="0" w:sz="0" w:val="nil"/>
        </w:pBdr>
        <w:ind w:left="1418"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část Kupní ceny ve výši</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w:t>
      </w:r>
      <w:r w:rsidDel="00000000" w:rsidR="00000000" w:rsidRPr="00000000">
        <w:rPr>
          <w:rFonts w:ascii="Arial" w:cs="Arial" w:eastAsia="Arial" w:hAnsi="Arial"/>
          <w:color w:val="000000"/>
          <w:sz w:val="20"/>
          <w:szCs w:val="20"/>
          <w:rtl w:val="0"/>
        </w:rPr>
        <w:t xml:space="preserve">(slovy: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již byla Kupujícím z jeho vlastních prostředků zaplacena před podpisem této Smlouvy na projektový účet Prodávajícího č. účtu: </w:t>
      </w:r>
      <w:bookmarkStart w:colFirst="0" w:colLast="0" w:name="bookmark=id.1r5egy8l0rbj" w:id="3"/>
      <w:bookmarkEnd w:id="3"/>
      <w:r w:rsidDel="00000000" w:rsidR="00000000" w:rsidRPr="00000000">
        <w:rPr>
          <w:rFonts w:ascii="Arial" w:cs="Arial" w:eastAsia="Arial" w:hAnsi="Arial"/>
          <w:color w:val="000000"/>
          <w:sz w:val="20"/>
          <w:szCs w:val="20"/>
          <w:rtl w:val="0"/>
        </w:rPr>
        <w:t xml:space="preserve">6721013319/0800 vedený u České spořitelny, a.s. (dále jen „</w:t>
      </w:r>
      <w:r w:rsidDel="00000000" w:rsidR="00000000" w:rsidRPr="00000000">
        <w:rPr>
          <w:rFonts w:ascii="Arial" w:cs="Arial" w:eastAsia="Arial" w:hAnsi="Arial"/>
          <w:b w:val="1"/>
          <w:bCs w:val="1"/>
          <w:color w:val="000000"/>
          <w:sz w:val="20"/>
          <w:szCs w:val="20"/>
          <w:rtl w:val="0"/>
        </w:rPr>
        <w:t xml:space="preserve">Projektový účet</w:t>
      </w:r>
      <w:r w:rsidDel="00000000" w:rsidR="00000000" w:rsidRPr="00000000">
        <w:rPr>
          <w:rFonts w:ascii="Arial" w:cs="Arial" w:eastAsia="Arial" w:hAnsi="Arial"/>
          <w:color w:val="000000"/>
          <w:sz w:val="20"/>
          <w:szCs w:val="20"/>
          <w:rtl w:val="0"/>
        </w:rPr>
        <w:t xml:space="preserve">“), a to jako 2. záloha na Kupní cenu dle SOSBK; Smluvní strany činí nesporným, že se tato částka v plné výši započítává na Kupní cenu Předmětu převodu; </w:t>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141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numPr>
          <w:ilvl w:val="2"/>
          <w:numId w:val="16"/>
        </w:numPr>
        <w:pBdr>
          <w:top w:space="0" w:sz="0" w:val="nil"/>
          <w:left w:space="0" w:sz="0" w:val="nil"/>
          <w:bottom w:space="0" w:sz="0" w:val="nil"/>
          <w:right w:space="0" w:sz="0" w:val="nil"/>
          <w:between w:space="0" w:sz="0" w:val="nil"/>
        </w:pBdr>
        <w:ind w:left="1418"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zbývající část Kupní ceny ve výši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w:t>
      </w:r>
      <w:r w:rsidDel="00000000" w:rsidR="00000000" w:rsidRPr="00000000">
        <w:rPr>
          <w:rFonts w:ascii="Arial" w:cs="Arial" w:eastAsia="Arial" w:hAnsi="Arial"/>
          <w:color w:val="000000"/>
          <w:sz w:val="20"/>
          <w:szCs w:val="20"/>
          <w:rtl w:val="0"/>
        </w:rPr>
        <w:t xml:space="preserve">(slovy: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bude Kupujícím zaplacena na Projektový účet následovně: </w:t>
      </w:r>
    </w:p>
    <w:p w:rsidR="00000000" w:rsidDel="00000000" w:rsidP="00000000" w:rsidRDefault="00000000" w:rsidRPr="00000000" w14:paraId="000000BD">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E">
      <w:pPr>
        <w:numPr>
          <w:ilvl w:val="3"/>
          <w:numId w:val="16"/>
        </w:numPr>
        <w:pBdr>
          <w:top w:space="0" w:sz="0" w:val="nil"/>
          <w:left w:space="0" w:sz="0" w:val="nil"/>
          <w:bottom w:space="0" w:sz="0" w:val="nil"/>
          <w:right w:space="0" w:sz="0" w:val="nil"/>
          <w:between w:space="0" w:sz="0" w:val="nil"/>
        </w:pBdr>
        <w:ind w:left="1418"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část ve výši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w:t>
      </w:r>
      <w:r w:rsidDel="00000000" w:rsidR="00000000" w:rsidRPr="00000000">
        <w:rPr>
          <w:rFonts w:ascii="Arial" w:cs="Arial" w:eastAsia="Arial" w:hAnsi="Arial"/>
          <w:color w:val="000000"/>
          <w:sz w:val="20"/>
          <w:szCs w:val="20"/>
          <w:rtl w:val="0"/>
        </w:rPr>
        <w:t xml:space="preserve">(slovy: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bude Kupujícím zaplacena z jeho vlastních prostředků do </w:t>
      </w:r>
      <w:r w:rsidDel="00000000" w:rsidR="00000000" w:rsidRPr="00000000">
        <w:rPr>
          <w:rFonts w:ascii="Arial" w:cs="Arial" w:eastAsia="Arial" w:hAnsi="Arial"/>
          <w:color w:val="000000"/>
          <w:sz w:val="20"/>
          <w:szCs w:val="20"/>
          <w:highlight w:val="yellow"/>
          <w:rtl w:val="0"/>
        </w:rPr>
        <w:t xml:space="preserve">10 (slovy: deseti) kalendářních dnů</w:t>
      </w:r>
      <w:r w:rsidDel="00000000" w:rsidR="00000000" w:rsidRPr="00000000">
        <w:rPr>
          <w:rFonts w:ascii="Arial" w:cs="Arial" w:eastAsia="Arial" w:hAnsi="Arial"/>
          <w:color w:val="000000"/>
          <w:sz w:val="20"/>
          <w:szCs w:val="20"/>
          <w:rtl w:val="0"/>
        </w:rPr>
        <w:t xml:space="preserve"> ode dne podpisu této Smlouvy;</w:t>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141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0">
      <w:pPr>
        <w:numPr>
          <w:ilvl w:val="3"/>
          <w:numId w:val="16"/>
        </w:numPr>
        <w:pBdr>
          <w:top w:space="0" w:sz="0" w:val="nil"/>
          <w:left w:space="0" w:sz="0" w:val="nil"/>
          <w:bottom w:space="0" w:sz="0" w:val="nil"/>
          <w:right w:space="0" w:sz="0" w:val="nil"/>
          <w:between w:space="0" w:sz="0" w:val="nil"/>
        </w:pBdr>
        <w:ind w:left="1418"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zbývající část ve výši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w:t>
      </w:r>
      <w:r w:rsidDel="00000000" w:rsidR="00000000" w:rsidRPr="00000000">
        <w:rPr>
          <w:rFonts w:ascii="Arial" w:cs="Arial" w:eastAsia="Arial" w:hAnsi="Arial"/>
          <w:color w:val="000000"/>
          <w:sz w:val="20"/>
          <w:szCs w:val="20"/>
          <w:rtl w:val="0"/>
        </w:rPr>
        <w:t xml:space="preserve">(slovy: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bude Kupujícím zaplacena formou čerpání hypotečního úvěru poskytnutého Kupujícímu ze strany Úvěrové instituce, a to do </w:t>
      </w:r>
      <w:r w:rsidDel="00000000" w:rsidR="00000000" w:rsidRPr="00000000">
        <w:rPr>
          <w:rFonts w:ascii="Arial" w:cs="Arial" w:eastAsia="Arial" w:hAnsi="Arial"/>
          <w:color w:val="000000"/>
          <w:sz w:val="20"/>
          <w:szCs w:val="20"/>
          <w:highlight w:val="yellow"/>
          <w:rtl w:val="0"/>
        </w:rPr>
        <w:t xml:space="preserve">10 (slovy: deseti) kalendářních dnů</w:t>
      </w:r>
      <w:r w:rsidDel="00000000" w:rsidR="00000000" w:rsidRPr="00000000">
        <w:rPr>
          <w:rFonts w:ascii="Arial" w:cs="Arial" w:eastAsia="Arial" w:hAnsi="Arial"/>
          <w:color w:val="000000"/>
          <w:sz w:val="20"/>
          <w:szCs w:val="20"/>
          <w:rtl w:val="0"/>
        </w:rPr>
        <w:t xml:space="preserve"> ode dne podpisu této Smlouvy. </w:t>
      </w:r>
    </w:p>
    <w:p w:rsidR="00000000" w:rsidDel="00000000" w:rsidP="00000000" w:rsidRDefault="00000000" w:rsidRPr="00000000" w14:paraId="000000C1">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Nebude-li část Kupní ceny dle odst. 4.2.3 této Smlouvy (či jakákoliv její část) Kupujícím zaplacena včas, má Prodávající nárok účtovat úrok z prodlení v souladu s nařízením vlády č. 351/2013 Sb. až do úplného zaplacení této části Kupní ceny či do odstoupení Prodávajícího od této Smlouvy.</w:t>
      </w:r>
    </w:p>
    <w:p w:rsidR="00000000" w:rsidDel="00000000" w:rsidP="00000000" w:rsidRDefault="00000000" w:rsidRPr="00000000" w14:paraId="000000C3">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4">
      <w:pPr>
        <w:ind w:left="709"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ind w:left="720" w:hanging="72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ODSTOUPENÍ OD SMLOUVY A SMLUVNÍ POKUTY</w:t>
      </w:r>
    </w:p>
    <w:p w:rsidR="00000000" w:rsidDel="00000000" w:rsidP="00000000" w:rsidRDefault="00000000" w:rsidRPr="00000000" w14:paraId="000000C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7">
      <w:pPr>
        <w:numPr>
          <w:ilvl w:val="1"/>
          <w:numId w:val="5"/>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je oprávněn odstoupit od této Smlouvy v případě, že: </w:t>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9">
      <w:pPr>
        <w:numPr>
          <w:ilvl w:val="2"/>
          <w:numId w:val="6"/>
        </w:numPr>
        <w:pBdr>
          <w:top w:space="0" w:sz="0" w:val="nil"/>
          <w:left w:space="0" w:sz="0" w:val="nil"/>
          <w:bottom w:space="0" w:sz="0" w:val="nil"/>
          <w:right w:space="0" w:sz="0" w:val="nil"/>
          <w:between w:space="0" w:sz="0" w:val="nil"/>
        </w:pBdr>
        <w:ind w:left="1276"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bude v prodlení s řádnou úhradou části Kupní ceny dle odst. 4.2.3 této Smlouvy (či jakékoliv její části) po dobu delší než 10 (slovy: deset) kalendářních dnů; Prodávající má v takovém případě vedle nároku na odstoupení od této Smlouvy i nárok na smluvní pokutu ve výši 10 % z Kupní ceny Předmětu převodu;</w:t>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127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B">
      <w:pPr>
        <w:numPr>
          <w:ilvl w:val="2"/>
          <w:numId w:val="6"/>
        </w:numPr>
        <w:pBdr>
          <w:top w:space="0" w:sz="0" w:val="nil"/>
          <w:left w:space="0" w:sz="0" w:val="nil"/>
          <w:bottom w:space="0" w:sz="0" w:val="nil"/>
          <w:right w:space="0" w:sz="0" w:val="nil"/>
          <w:between w:space="0" w:sz="0" w:val="nil"/>
        </w:pBdr>
        <w:ind w:left="1276"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prohlášení (jedno, více nebo všechna) Kupujícího uvedená v odst. 3.2 této Smlouvy se ukáže nepravdivé nebo se stane nepravdivým a Kupující ani do 10 (slovy: deseti) kalendářních dnů ode dne doručení výzvy Prodávajícího nezjedná nápravu; Prodávající má v takovém případě vedle nároku na odstoupení od této Smlouvy i nárok na smluvní pokutu ve výši 10 % z Kupní ceny Předmětu převodu; </w:t>
      </w:r>
    </w:p>
    <w:p w:rsidR="00000000" w:rsidDel="00000000" w:rsidP="00000000" w:rsidRDefault="00000000" w:rsidRPr="00000000" w14:paraId="000000CC">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D">
      <w:pPr>
        <w:numPr>
          <w:ilvl w:val="2"/>
          <w:numId w:val="6"/>
        </w:numPr>
        <w:pBdr>
          <w:top w:space="0" w:sz="0" w:val="nil"/>
          <w:left w:space="0" w:sz="0" w:val="nil"/>
          <w:bottom w:space="0" w:sz="0" w:val="nil"/>
          <w:right w:space="0" w:sz="0" w:val="nil"/>
          <w:between w:space="0" w:sz="0" w:val="nil"/>
        </w:pBdr>
        <w:ind w:left="1276"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ani do 14 (slovy: čtrnácti) kalendářních dnů ode dne, kdy Katastrální úřad pravomocně zamítne či zastaví řízení o povolení vkladu vlastnického práva k Předmětu převodu podle této Smlouvy ve prospěch Kupujícího do katastru nemovitostí, neposkytne součinnost potřebnou k nápravě dle odst. 8.3 této Smlouvy; Prodávající má v takovém případě vedle nároku na odstoupení od této Smlouvy i nárok na smluvní pokutu ve výši 10 % z Kupní ceny Předmětu převodu. </w:t>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F">
      <w:pPr>
        <w:ind w:left="70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Kupující se zavazuje uhradit Prodávajícímu smluvní pokutu dle tohoto odstavce ve lhůtě uvedené v písemné výzvě Prodávajícího. Smluvní strany se současně výslovně dohodly, že Prodávající je v případě, že mu vznikne nárok na úhradu smluvní pokuty dle tohoto odstavce, oprávněn oproti Kupujícím zaplaceným částem Kupní ceny provést zápočet nároku Prodávajícího na úhradu smluvní pokutu dle tohoto odstavce do výše, v jaké se tyto nároky kryjí. </w:t>
      </w:r>
      <w:r w:rsidDel="00000000" w:rsidR="00000000" w:rsidRPr="00000000">
        <w:rPr>
          <w:rFonts w:ascii="Arial" w:cs="Arial" w:eastAsia="Arial" w:hAnsi="Arial"/>
          <w:color w:val="000000"/>
          <w:sz w:val="20"/>
          <w:szCs w:val="20"/>
          <w:rtl w:val="0"/>
        </w:rPr>
        <w:t xml:space="preserve">Ujednáním o smluvní pokutě není nijak dotčeno či omezeno právo Prodávajícího domáhat se náhrady škody v plném rozsahu.</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1">
      <w:pPr>
        <w:numPr>
          <w:ilvl w:val="1"/>
          <w:numId w:val="5"/>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je oprávněn od této Smlouvy odstoupit v případě, že Prodávající ani do 14 (slovy: čtrnácti) kalendářních dnů ode dne, kdy Katastrální úřad pravomocně zamítne či zastaví řízení o povolení vkladu vlastnického práva k Předmětu převodu podle této Smlouvy ve prospěch Kupujícího do katastru nemovitostí, neposkytne součinnost potřebnou k nápravě dle odst. 8.3 této Smlouvy. Kupující má v takovém případě vedle nároku na odstoupení od této Smlouvy i nárok na smluvní pokutu ve výši 10 % z Kupní ceny.</w:t>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3">
      <w:pPr>
        <w:numPr>
          <w:ilvl w:val="1"/>
          <w:numId w:val="5"/>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Odstoupení se děje písemným jednostranným prohlášením doručeným druhé Smluvní straně. V případě řádného odstoupení kteroukoliv ze Smluvních stran od této Smlouvy se tato Smlouva ruší. </w:t>
      </w:r>
    </w:p>
    <w:p w:rsidR="00000000" w:rsidDel="00000000" w:rsidP="00000000" w:rsidRDefault="00000000" w:rsidRPr="00000000" w14:paraId="000000D4">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5">
      <w:pPr>
        <w:numPr>
          <w:ilvl w:val="1"/>
          <w:numId w:val="5"/>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řádného odstoupení od této Smlouvy bude nejpozději do 2 (slovy: dvou) kalendářních měsíců od doručení oznámení o odstoupení od Smlouvy druhé Smluvní straně obnoven právní stav existující před uzavřením této Smlouvy, </w:t>
      </w:r>
      <w:r w:rsidDel="00000000" w:rsidR="00000000" w:rsidRPr="00000000">
        <w:rPr>
          <w:rFonts w:ascii="Arial" w:cs="Arial" w:eastAsia="Arial" w:hAnsi="Arial"/>
          <w:color w:val="000000"/>
          <w:sz w:val="20"/>
          <w:szCs w:val="20"/>
          <w:highlight w:val="yellow"/>
          <w:rtl w:val="0"/>
        </w:rPr>
        <w:t xml:space="preserve">z Předmětu převodu bude proveden výmaz zástavního práva smluvního dle odst. 3.1.3 této Smlouvy včetně veškerých zápisů a omezení s ním souvisejících</w:t>
      </w:r>
      <w:r w:rsidDel="00000000" w:rsidR="00000000" w:rsidRPr="00000000">
        <w:rPr>
          <w:rFonts w:ascii="Arial" w:cs="Arial" w:eastAsia="Arial" w:hAnsi="Arial"/>
          <w:color w:val="000000"/>
          <w:sz w:val="20"/>
          <w:szCs w:val="20"/>
          <w:rtl w:val="0"/>
        </w:rPr>
        <w:t xml:space="preserve">, a bude provedeno finanční vypořádání. Smluvní strany jsou povinny poskytnout si navzájem k tomu potřebnou součinnost. Kupující je srozuměn s tím, že finanční vypořádání bude uskutečněno prostřednictvím bankovní/advokátní/notářské úschovy dle volby Prodávajícího s tím, že jakákoliv část Kupní ceny bude Kupujícímu vyplacena nejdříve po převodu vlastnického práva k Předmětu převodu nezatíženého žádným zatížením, omezením, zápisem, plombou či poznámkou zřízeným Kupujícím nebo jeho právním nástupcem či vzniklým z důvodu na straně Kupujícího nebo jeho právního nástupce</w:t>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20"/>
          <w:szCs w:val="20"/>
          <w:rtl w:val="0"/>
        </w:rPr>
        <w:t xml:space="preserve">zpět na Prodávajícího, </w:t>
      </w:r>
      <w:r w:rsidDel="00000000" w:rsidR="00000000" w:rsidRPr="00000000">
        <w:rPr>
          <w:rFonts w:ascii="Arial" w:cs="Arial" w:eastAsia="Arial" w:hAnsi="Arial"/>
          <w:color w:val="000000"/>
          <w:sz w:val="20"/>
          <w:szCs w:val="20"/>
          <w:highlight w:val="yellow"/>
          <w:rtl w:val="0"/>
        </w:rPr>
        <w:t xml:space="preserve">nebude-li Smluvními stranami ve vztahu k části Kupní ceny hrazené formou hypotečního úvěru výslovně dohodnuto jinak</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D6">
      <w:pPr>
        <w:pBdr>
          <w:top w:space="0" w:sz="0" w:val="nil"/>
          <w:left w:space="0" w:sz="0" w:val="nil"/>
          <w:bottom w:space="0" w:sz="0" w:val="nil"/>
          <w:right w:space="0" w:sz="0" w:val="nil"/>
          <w:between w:space="0" w:sz="0" w:val="nil"/>
        </w:pBdr>
        <w:ind w:left="3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7">
      <w:pPr>
        <w:numPr>
          <w:ilvl w:val="0"/>
          <w:numId w:val="3"/>
        </w:numPr>
        <w:pBdr>
          <w:top w:space="0" w:sz="0" w:val="nil"/>
          <w:left w:space="0" w:sz="0" w:val="nil"/>
          <w:bottom w:space="0" w:sz="0" w:val="nil"/>
          <w:right w:space="0" w:sz="0" w:val="nil"/>
          <w:between w:space="0" w:sz="0" w:val="nil"/>
        </w:pBdr>
        <w:ind w:left="709" w:hanging="709"/>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OSTATNÍ USTANOVENÍ </w:t>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9">
      <w:pPr>
        <w:numPr>
          <w:ilvl w:val="1"/>
          <w:numId w:val="8"/>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nabude vlastnické právo k Předmětu převodu vkladem do katastru nemovitostí u Katastrálního úřadu s účinky k okamžiku, kdy bude návrh na vklad doručen Katastrálnímu úřadu. </w:t>
      </w:r>
    </w:p>
    <w:p w:rsidR="00000000" w:rsidDel="00000000" w:rsidP="00000000" w:rsidRDefault="00000000" w:rsidRPr="00000000" w14:paraId="000000DA">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B">
      <w:pPr>
        <w:numPr>
          <w:ilvl w:val="1"/>
          <w:numId w:val="8"/>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Nebezpečí škody na Předmětu převodu přechází na Kupujícího dnem převzetí Předmětu převodu; v případě, že k převzetí Předmětu převodu nedojde z důvodu na straně Kupujícího, platí, že nebezpečí škody na Předmětu převodu přechází na Kupujícího dnem následujícím po marném uplynutí dne určeného Prodávajícím k převzetí Předmětu převodu dle odst. 3.4 této Smlouvy.</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ind w:left="709" w:hanging="709"/>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D">
      <w:pPr>
        <w:numPr>
          <w:ilvl w:val="0"/>
          <w:numId w:val="3"/>
        </w:numPr>
        <w:pBdr>
          <w:top w:space="0" w:sz="0" w:val="nil"/>
          <w:left w:space="0" w:sz="0" w:val="nil"/>
          <w:bottom w:space="0" w:sz="0" w:val="nil"/>
          <w:right w:space="0" w:sz="0" w:val="nil"/>
          <w:between w:space="0" w:sz="0" w:val="nil"/>
        </w:pBdr>
        <w:ind w:left="709" w:hanging="709"/>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ZAJIŠŤOVÁNÍ SPRÁVY, PROVOZU A OPRAV SPOLEČNÝCH ČÁSTÍ NEMOVITOSTI, PŘEVOD PRÁV A ZÁVAZKŮ</w:t>
      </w:r>
    </w:p>
    <w:p w:rsidR="00000000" w:rsidDel="00000000" w:rsidP="00000000" w:rsidRDefault="00000000" w:rsidRPr="00000000" w14:paraId="000000DE">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F">
      <w:pPr>
        <w:numPr>
          <w:ilvl w:val="1"/>
          <w:numId w:val="9"/>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prohlašuje, že před podpisem této Smlouvy vzniklo společenství vlastníků jednotek s názvem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se sídlem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IČO: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(dále jen „</w:t>
      </w:r>
      <w:r w:rsidDel="00000000" w:rsidR="00000000" w:rsidRPr="00000000">
        <w:rPr>
          <w:rFonts w:ascii="Arial" w:cs="Arial" w:eastAsia="Arial" w:hAnsi="Arial"/>
          <w:b w:val="1"/>
          <w:bCs w:val="1"/>
          <w:color w:val="000000"/>
          <w:sz w:val="20"/>
          <w:szCs w:val="20"/>
          <w:rtl w:val="0"/>
        </w:rPr>
        <w:t xml:space="preserve">SVJ</w:t>
      </w:r>
      <w:r w:rsidDel="00000000" w:rsidR="00000000" w:rsidRPr="00000000">
        <w:rPr>
          <w:rFonts w:ascii="Arial" w:cs="Arial" w:eastAsia="Arial" w:hAnsi="Arial"/>
          <w:color w:val="000000"/>
          <w:sz w:val="20"/>
          <w:szCs w:val="20"/>
          <w:rtl w:val="0"/>
        </w:rPr>
        <w:t xml:space="preserve">“). Správu, provoz a opravy společných částí nemovitosti zajišťuje společnost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E0">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1">
      <w:pPr>
        <w:numPr>
          <w:ilvl w:val="1"/>
          <w:numId w:val="9"/>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prohlašuje, že se před podpisem této Smlouvy seznámil se stanovami SVJ, a zavazuje se zejména:</w:t>
      </w:r>
    </w:p>
    <w:p w:rsidR="00000000" w:rsidDel="00000000" w:rsidP="00000000" w:rsidRDefault="00000000" w:rsidRPr="00000000" w14:paraId="000000E2">
      <w:pPr>
        <w:numPr>
          <w:ilvl w:val="0"/>
          <w:numId w:val="15"/>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platit příspěvky na správu bytového domu a pozemku dle Prohlášení vlastníka, resp. stanov SVJ či rozhodnutí shromáždění SVJ,</w:t>
      </w:r>
    </w:p>
    <w:p w:rsidR="00000000" w:rsidDel="00000000" w:rsidP="00000000" w:rsidRDefault="00000000" w:rsidRPr="00000000" w14:paraId="000000E3">
      <w:pPr>
        <w:numPr>
          <w:ilvl w:val="0"/>
          <w:numId w:val="15"/>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platit příspěvky na odměňování osob zajišťujících správu bytového domu a pozemků, a</w:t>
      </w:r>
    </w:p>
    <w:p w:rsidR="00000000" w:rsidDel="00000000" w:rsidP="00000000" w:rsidRDefault="00000000" w:rsidRPr="00000000" w14:paraId="000000E4">
      <w:pPr>
        <w:numPr>
          <w:ilvl w:val="0"/>
          <w:numId w:val="15"/>
        </w:numPr>
        <w:pBdr>
          <w:top w:space="0" w:sz="0" w:val="nil"/>
          <w:left w:space="0" w:sz="0" w:val="nil"/>
          <w:bottom w:space="0" w:sz="0" w:val="nil"/>
          <w:right w:space="0" w:sz="0" w:val="nil"/>
          <w:between w:space="0" w:sz="0" w:val="nil"/>
        </w:pBdr>
        <w:ind w:left="1134"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platit zálohy na plnění spojená nebo související s užíváním Předmětu převodu ve výši dle Prohlášení vlastníka, resp. stanov SVJ či rozhodnutí shromáždění SVJ.</w:t>
      </w:r>
    </w:p>
    <w:p w:rsidR="00000000" w:rsidDel="00000000" w:rsidP="00000000" w:rsidRDefault="00000000" w:rsidRPr="00000000" w14:paraId="000000E5">
      <w:pPr>
        <w:pBdr>
          <w:top w:space="0" w:sz="0" w:val="nil"/>
          <w:left w:space="0" w:sz="0" w:val="nil"/>
          <w:bottom w:space="0" w:sz="0" w:val="nil"/>
          <w:right w:space="0" w:sz="0" w:val="nil"/>
          <w:between w:space="0" w:sz="0" w:val="nil"/>
        </w:pBdr>
        <w:ind w:left="1134"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6">
      <w:pPr>
        <w:numPr>
          <w:ilvl w:val="1"/>
          <w:numId w:val="9"/>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Kupující bere na vědomí, že na Kupujícího s převodem vlastnického práva k Předmětu převodu přechází práva a povinnosti dosavadního vlastníka. Kupující bere dále na vědomí, že na vlastníky jednotek v bytovém domě přejdou zejména práva a povinnosti ze smluvního vztahu s osobou zajišťující správu bytového domu a pozemků a dále mezi společností vybranou Prodávajícím, která zajišťuje dlouhodobé dodávky energie a vody do bytového domu. Kupující dále bere na vědomí, že na něj, jakož i na ostatní vlastníky jednotek v bytovém domě, přejdou práva a povinnosti ze smluv uzavřených pro účely realizace projektu „Byty Javorový Dvůr“ mezi Prodávajícím na straně jedné a vlastníky veřejných sítí, infrastruktury, poskytovateli energií či dalšími osobami na straně druhé.</w:t>
      </w:r>
    </w:p>
    <w:p w:rsidR="00000000" w:rsidDel="00000000" w:rsidP="00000000" w:rsidRDefault="00000000" w:rsidRPr="00000000" w14:paraId="000000E7">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8">
      <w:pPr>
        <w:numPr>
          <w:ilvl w:val="0"/>
          <w:numId w:val="4"/>
        </w:numPr>
        <w:pBdr>
          <w:top w:space="0" w:sz="0" w:val="nil"/>
          <w:left w:space="0" w:sz="0" w:val="nil"/>
          <w:bottom w:space="0" w:sz="0" w:val="nil"/>
          <w:right w:space="0" w:sz="0" w:val="nil"/>
          <w:between w:space="0" w:sz="0" w:val="nil"/>
        </w:pBdr>
        <w:ind w:left="709" w:hanging="709"/>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smallCaps w:val="1"/>
          <w:color w:val="000000"/>
          <w:sz w:val="20"/>
          <w:szCs w:val="20"/>
          <w:rtl w:val="0"/>
        </w:rPr>
        <w:t xml:space="preserve">ZÁPIS VLASTNICKÉHO PRÁVA</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A">
      <w:pPr>
        <w:numPr>
          <w:ilvl w:val="1"/>
          <w:numId w:val="10"/>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navrhují, aby na základě návrhu na vklad vlastnického práva podle této Smlouvy (dále jen „</w:t>
      </w:r>
      <w:r w:rsidDel="00000000" w:rsidR="00000000" w:rsidRPr="00000000">
        <w:rPr>
          <w:rFonts w:ascii="Arial" w:cs="Arial" w:eastAsia="Arial" w:hAnsi="Arial"/>
          <w:b w:val="1"/>
          <w:bCs w:val="1"/>
          <w:color w:val="000000"/>
          <w:sz w:val="20"/>
          <w:szCs w:val="20"/>
          <w:rtl w:val="0"/>
        </w:rPr>
        <w:t xml:space="preserve">Návrh na vklad</w:t>
      </w:r>
      <w:r w:rsidDel="00000000" w:rsidR="00000000" w:rsidRPr="00000000">
        <w:rPr>
          <w:rFonts w:ascii="Arial" w:cs="Arial" w:eastAsia="Arial" w:hAnsi="Arial"/>
          <w:color w:val="000000"/>
          <w:sz w:val="20"/>
          <w:szCs w:val="20"/>
          <w:rtl w:val="0"/>
        </w:rPr>
        <w:t xml:space="preserve">“) povolil Katastrální úřad v katastru nemovitostí na příslušných listech vlastnictví pro katastrální území Velvary, obec Velvary, okres Kladno, provedení zápisu vkladu vlastnického práva k Předmětu převodu ve prospěch Kupujícího tak, že Kupující se stane </w:t>
      </w:r>
      <w:r w:rsidDel="00000000" w:rsidR="00000000" w:rsidRPr="00000000">
        <w:rPr>
          <w:rFonts w:ascii="Arial" w:cs="Arial" w:eastAsia="Arial" w:hAnsi="Arial"/>
          <w:color w:val="000000"/>
          <w:sz w:val="20"/>
          <w:szCs w:val="20"/>
          <w:highlight w:val="yellow"/>
          <w:rtl w:val="0"/>
        </w:rPr>
        <w:t xml:space="preserve">vlastníkem Předmětu převodu / Předmět převodu nabude do společného jmění / Předmět převodu nabude do podílového spoluvlastnictví</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C">
      <w:pPr>
        <w:numPr>
          <w:ilvl w:val="1"/>
          <w:numId w:val="10"/>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Návrh na vklad u Katastrálního úřadu podá Prodávající. Návrh na vklad spolu s 1 vyhotovením této Smlouvy s úředně ověřenými podpisy jejích účastníků bude Prodávajícím podán do 10 (slovy: deseti) pracovních dnů ode připsání části Kupní ceny dle odst. 4.2.3 této Smlouvy v plné výši na Projektový účet. Za podání Návrhu na vklad se považuje i jeho odeslání prostřednictvím držitele poštovní licence či prostřednictvím datové schránky Prodávajícího. Do doby splnění podmínek pro podání Návrhu na vklad ke Katastrálnímu úřadu bude Návrh na vklad včetně vyhotovení této Smlouvy s úředně ověřenými podpisy Smluvních stran určených pro Katastrální úřad v úschově Prodávajícího. Ostatní vyhotovení této Smlouvy bez úředního ověření podpisů Smluvních stran jsou vydána Smluvním stranám po podpisu této Smlouvy. Správní poplatek spojený s návrhem na vklad vlastnického práva podle této Smlouvy se zavazuje zaplatit Prodávající.</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E">
      <w:pPr>
        <w:numPr>
          <w:ilvl w:val="1"/>
          <w:numId w:val="10"/>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že by Katastrální úřad z jakéhokoli důvodu zamítl či zastavil řízení o povolení vkladu vlastnického práva k Předmětu převodu podle této Smlouvy ve prospěch Kupujícího do katastru nemovitostí, zavazují se Smluvní strany poskytnout si navzájem bez zbytečného odkladu, bez nároků na jakoukoli náhradu, veškerou součinnost nutnou k tomu, aby byl nedostatek, pro který nebylo možno zápis vkladu vlastnického práva k Předmětu převodu podle této Smlouvy ve prospěch Kupujícího do katastru nemovitostí provést, v co nejkratší době odstraněn, a to včetně případného uzavření dodatku k této Smlouvě či uzavření nové kupní smlouvy za stejných podmínek splňující podmínky nebo požadavky Katastrálního úřadu pro povolení vkladu, případně tuto Smlouvu či Návrh na vklad náležitě doplní dle pokynu Katastrálního úřadu. </w:t>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0">
      <w:pPr>
        <w:numPr>
          <w:ilvl w:val="0"/>
          <w:numId w:val="4"/>
        </w:numPr>
        <w:pBdr>
          <w:top w:space="0" w:sz="0" w:val="nil"/>
          <w:left w:space="0" w:sz="0" w:val="nil"/>
          <w:bottom w:space="0" w:sz="0" w:val="nil"/>
          <w:right w:space="0" w:sz="0" w:val="nil"/>
          <w:between w:space="0" w:sz="0" w:val="nil"/>
        </w:pBdr>
        <w:ind w:left="360" w:hanging="36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ab/>
      </w:r>
      <w:r w:rsidDel="00000000" w:rsidR="00000000" w:rsidRPr="00000000">
        <w:rPr>
          <w:rFonts w:ascii="Arial" w:cs="Arial" w:eastAsia="Arial" w:hAnsi="Arial"/>
          <w:b w:val="1"/>
          <w:bCs w:val="1"/>
          <w:smallCaps w:val="1"/>
          <w:color w:val="000000"/>
          <w:sz w:val="20"/>
          <w:szCs w:val="20"/>
          <w:rtl w:val="0"/>
        </w:rPr>
        <w:t xml:space="preserve">ZÁVĚREČNÁ USTANOVENÍ</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2">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Tato Smlouva byla sepsána v/ve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vyhotoveních s platností originálu, přičemž 2 vyhotovení obdrží Prodávající,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vyhotovení obdrží Kupující </w:t>
      </w:r>
      <w:r w:rsidDel="00000000" w:rsidR="00000000" w:rsidRPr="00000000">
        <w:rPr>
          <w:rFonts w:ascii="Arial" w:cs="Arial" w:eastAsia="Arial" w:hAnsi="Arial"/>
          <w:color w:val="000000"/>
          <w:sz w:val="20"/>
          <w:szCs w:val="20"/>
          <w:highlight w:val="yellow"/>
          <w:rtl w:val="0"/>
        </w:rPr>
        <w:t xml:space="preserve">(z toho 1 vyhotovení pro potřeby Úvěrové instituce)</w:t>
      </w:r>
      <w:r w:rsidDel="00000000" w:rsidR="00000000" w:rsidRPr="00000000">
        <w:rPr>
          <w:rFonts w:ascii="Arial" w:cs="Arial" w:eastAsia="Arial" w:hAnsi="Arial"/>
          <w:color w:val="000000"/>
          <w:sz w:val="20"/>
          <w:szCs w:val="20"/>
          <w:rtl w:val="0"/>
        </w:rPr>
        <w:t xml:space="preserve"> a 1 vyhotovení je určeno pro potřeby řízení u Katastrálního úřadu o povolení vkladu vlastnického práva  k Předmětu převodu podle této Smlouvy ve prospěch Kupujícího do katastru nemovitostí s tím, že toto vyhotovení s úředním ověřením podpisů zůstává do doby řádné úhrady části Kupní ceny dle odst. 4.2.3 této Smlouvy na Projektový účet v úschově Prodávající. </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4">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Tato Smlouva nabývá platnosti a účinnosti dnem jejího podpisu a tímto dnem, až do doby úplného vypořádání všech práv a závazků vyplývajících ze Smlouvy, jsou Smluvní strany obsahem této Smlouvy vázány.</w:t>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6">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Právní vztahy v této Smlouvě výslovně neupravené se řídí občanským zákoníkem. Rozhodným je tedy právní řád České republiky. Případné spory plynoucí z této Smlouvy budou rozhodovány věcně a místně příslušným soudem České republiky. Smluvní strany se výslovně dohodly, že vylučují aplikaci ust. § 1765 až 1766 občanského zákoníku. Kupující prohlašuje, že je mu známa skutečná cena Předmětu převodu, že s výší Kupní ceny souhlasí, a že se tedy vzdává práva podle ust. § 1793 občanského zákoníku. Žádná ze Smluvních stran není oprávněna odstoupit od této Smlouvy, vypovědět ji, či ji jinak jednostranně ukončit z jiných než kogentních zákonných důvodů, nebo z důvodů výslovně uvedených v této Smlouvě, a Smluvní strany tak výslovně vylučují zejména aplikaci ust. § 1977 až § 1979, ust. § 1999, ust. § 2000, ust. § 2002 a ust. § 2003 občanského zákoníku. Práva a povinnosti vzniklá z této Smlouvy nesmí být postoupena bez předchozího souhlasu druhé Smluvní strany.</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8">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se zavazují, že v případě, že se ukáže některé ustanovení této Smlouvy jako neplatné či nevymahatelné, tak jej bez zbytečného odkladu nahradí ujednáním novým, které svým obsahem bude co nejvíce odpovídat nahrazovanému ujednání a zejména jeho účelu zamýšleného Smluvními stranami.</w:t>
      </w:r>
    </w:p>
    <w:p w:rsidR="00000000" w:rsidDel="00000000" w:rsidP="00000000" w:rsidRDefault="00000000" w:rsidRPr="00000000" w14:paraId="000000F9">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A">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Nedílnou součástí této Smlouvy jsou veškeré její přílohy uvedené v textu:</w:t>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1 – list vlastnictví č.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pro k.ú. Velvary, obec Velvary, okres Kladno, </w:t>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2 – specifikace umístění Předmětu převodu,  </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3 – standardy.</w:t>
      </w:r>
    </w:p>
    <w:p w:rsidR="00000000" w:rsidDel="00000000" w:rsidP="00000000" w:rsidRDefault="00000000" w:rsidRPr="00000000" w14:paraId="000000FE">
      <w:pPr>
        <w:pBdr>
          <w:top w:space="0" w:sz="0" w:val="nil"/>
          <w:left w:space="0" w:sz="0" w:val="nil"/>
          <w:bottom w:space="0" w:sz="0" w:val="nil"/>
          <w:right w:space="0" w:sz="0" w:val="nil"/>
          <w:between w:space="0" w:sz="0" w:val="nil"/>
        </w:pBdr>
        <w:ind w:left="708"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F">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Tuto Smlouvu je možné změnit pouze písemnou formou dodatku k této Smlouvě. Smluvní strany dle dohody vylučují aplikaci ust. § 1740 odst. 3 občanského zákoníku, když dle dohody Smluvních stran tedy musí dojít k písemné dohodě o celém obsahu jakékoli změny této Smlouvy.</w:t>
      </w:r>
    </w:p>
    <w:p w:rsidR="00000000" w:rsidDel="00000000" w:rsidP="00000000" w:rsidRDefault="00000000" w:rsidRPr="00000000" w14:paraId="00000100">
      <w:pPr>
        <w:pBdr>
          <w:top w:space="0" w:sz="0" w:val="nil"/>
          <w:left w:space="0" w:sz="0" w:val="nil"/>
          <w:bottom w:space="0" w:sz="0" w:val="nil"/>
          <w:right w:space="0" w:sz="0" w:val="nil"/>
          <w:between w:space="0" w:sz="0" w:val="nil"/>
        </w:pBdr>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1">
      <w:pPr>
        <w:numPr>
          <w:ilvl w:val="1"/>
          <w:numId w:val="12"/>
        </w:numPr>
        <w:pBdr>
          <w:top w:space="0" w:sz="0" w:val="nil"/>
          <w:left w:space="0" w:sz="0" w:val="nil"/>
          <w:bottom w:space="0" w:sz="0" w:val="nil"/>
          <w:right w:space="0" w:sz="0" w:val="nil"/>
          <w:between w:space="0" w:sz="0" w:val="nil"/>
        </w:pBdr>
        <w:ind w:left="709" w:hanging="709"/>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Písemnost určená druhé Smluvní straně se považuje za doručenou, není-li prokázán opak, okamžikem jejího převzetí touto Smluvní stranou nebo okamžikem odmítnutí jejího převzetí, v ostatních případech pak jedenáctým dnem po uložení písemnosti jako nedoručené zásilky u přepravce pověřeného doručením zásilky (na poště). V případě elektronické komunikace mezi Smluvními stranami je za okamžik doručení považován třetí pracovní den po odeslání, není-li prokázáno doručení dřívější. Smluvní strany se výslovně dohodly, že veškeré písemnosti dle této Smlouvy, s výjimkou případného odstoupení od této Smlouvy, lze zasílat elektronicky.</w:t>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ind w:left="705" w:hanging="705"/>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Smluvní strany prohlašují, že si Smlouvu před jejím podpisem řádně přečetly, že jejímu obsahu porozuměly, a že tato vyjadřuje jejich pravou a svobodnou vůli a na důkaz toho připojují své podpisy.</w:t>
      </w:r>
    </w:p>
    <w:p w:rsidR="00000000" w:rsidDel="00000000" w:rsidP="00000000" w:rsidRDefault="00000000" w:rsidRPr="00000000" w14:paraId="0000010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 Praze dne __________</w:t>
        <w:tab/>
        <w:tab/>
        <w:tab/>
        <w:t xml:space="preserve">V Praze dne __________ </w:t>
      </w:r>
    </w:p>
    <w:p w:rsidR="00000000" w:rsidDel="00000000" w:rsidP="00000000" w:rsidRDefault="00000000" w:rsidRPr="00000000" w14:paraId="0000010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07">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Prodávající:</w:t>
        <w:tab/>
        <w:tab/>
        <w:tab/>
        <w:tab/>
        <w:tab/>
        <w:t xml:space="preserve">Kupující:</w:t>
      </w:r>
      <w:r w:rsidDel="00000000" w:rsidR="00000000" w:rsidRPr="00000000">
        <w:rPr>
          <w:rtl w:val="0"/>
        </w:rPr>
      </w:r>
    </w:p>
    <w:p w:rsidR="00000000" w:rsidDel="00000000" w:rsidP="00000000" w:rsidRDefault="00000000" w:rsidRPr="00000000" w14:paraId="000001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9">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0A">
      <w:pP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w:t>
        <w:tab/>
        <w:tab/>
        <w:t xml:space="preserve">______________________________</w:t>
      </w:r>
    </w:p>
    <w:p w:rsidR="00000000" w:rsidDel="00000000" w:rsidP="00000000" w:rsidRDefault="00000000" w:rsidRPr="00000000" w14:paraId="0000010B">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PKRT Reality s.r.o.</w:t>
      </w:r>
      <w:r w:rsidDel="00000000" w:rsidR="00000000" w:rsidRPr="00000000">
        <w:rPr>
          <w:rFonts w:ascii="Arial" w:cs="Arial" w:eastAsia="Arial" w:hAnsi="Arial"/>
          <w:color w:val="000000"/>
          <w:sz w:val="20"/>
          <w:szCs w:val="20"/>
          <w:rtl w:val="0"/>
        </w:rPr>
        <w:tab/>
        <w:tab/>
        <w:tab/>
        <w:tab/>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Ing. Pavel Kopečný, jednatel</w:t>
      </w:r>
    </w:p>
    <w:p w:rsidR="00000000" w:rsidDel="00000000" w:rsidP="00000000" w:rsidRDefault="00000000" w:rsidRPr="00000000" w14:paraId="0000010D">
      <w:pPr>
        <w:ind w:left="705" w:hanging="705"/>
        <w:jc w:val="both"/>
        <w:rPr>
          <w:rFonts w:ascii="Arial" w:cs="Arial" w:eastAsia="Arial" w:hAnsi="Arial"/>
          <w:sz w:val="20"/>
          <w:szCs w:val="20"/>
        </w:rPr>
      </w:pPr>
      <w:r w:rsidDel="00000000" w:rsidR="00000000" w:rsidRPr="00000000">
        <w:rPr>
          <w:rtl w:val="0"/>
        </w:rPr>
      </w:r>
    </w:p>
    <w:sectPr>
      <w:headerReference r:id="rId8" w:type="default"/>
      <w:footerReference r:id="rId9" w:type="default"/>
      <w:pgSz w:h="16838" w:w="11906" w:orient="portrait"/>
      <w:pgMar w:bottom="851"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center" w:leader="none" w:pos="4536"/>
        <w:tab w:val="right" w:leader="none" w:pos="9072"/>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536"/>
        <w:tab w:val="right" w:leader="none" w:pos="9072"/>
      </w:tabs>
      <w:ind w:right="360"/>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153"/>
        <w:tab w:val="right" w:leader="none" w:pos="8306"/>
      </w:tabs>
      <w:spacing w:after="12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360" w:hanging="360"/>
      </w:pPr>
      <w:rPr/>
    </w:lvl>
    <w:lvl w:ilvl="1">
      <w:start w:val="2"/>
      <w:numFmt w:val="decimal"/>
      <w:lvlText w:val="%1.%2"/>
      <w:lvlJc w:val="left"/>
      <w:pPr>
        <w:ind w:left="870" w:hanging="360"/>
      </w:pPr>
      <w:rPr/>
    </w:lvl>
    <w:lvl w:ilvl="2">
      <w:start w:val="1"/>
      <w:numFmt w:val="decimal"/>
      <w:lvlText w:val="%1.%2.%3"/>
      <w:lvlJc w:val="left"/>
      <w:pPr>
        <w:ind w:left="1740" w:hanging="720"/>
      </w:pPr>
      <w:rPr/>
    </w:lvl>
    <w:lvl w:ilvl="3">
      <w:start w:val="1"/>
      <w:numFmt w:val="decimal"/>
      <w:lvlText w:val="%1.%2.%3.%4"/>
      <w:lvlJc w:val="left"/>
      <w:pPr>
        <w:ind w:left="2250" w:hanging="720"/>
      </w:pPr>
      <w:rPr/>
    </w:lvl>
    <w:lvl w:ilvl="4">
      <w:start w:val="1"/>
      <w:numFmt w:val="decimal"/>
      <w:lvlText w:val="%1.%2.%3.%4.%5"/>
      <w:lvlJc w:val="left"/>
      <w:pPr>
        <w:ind w:left="3120" w:hanging="1080"/>
      </w:pPr>
      <w:rPr/>
    </w:lvl>
    <w:lvl w:ilvl="5">
      <w:start w:val="1"/>
      <w:numFmt w:val="decimal"/>
      <w:lvlText w:val="%1.%2.%3.%4.%5.%6"/>
      <w:lvlJc w:val="left"/>
      <w:pPr>
        <w:ind w:left="3630" w:hanging="1080"/>
      </w:pPr>
      <w:rPr/>
    </w:lvl>
    <w:lvl w:ilvl="6">
      <w:start w:val="1"/>
      <w:numFmt w:val="decimal"/>
      <w:lvlText w:val="%1.%2.%3.%4.%5.%6.%7"/>
      <w:lvlJc w:val="left"/>
      <w:pPr>
        <w:ind w:left="4500" w:hanging="1440"/>
      </w:pPr>
      <w:rPr/>
    </w:lvl>
    <w:lvl w:ilvl="7">
      <w:start w:val="1"/>
      <w:numFmt w:val="decimal"/>
      <w:lvlText w:val="%1.%2.%3.%4.%5.%6.%7.%8"/>
      <w:lvlJc w:val="left"/>
      <w:pPr>
        <w:ind w:left="5010" w:hanging="1440"/>
      </w:pPr>
      <w:rPr/>
    </w:lvl>
    <w:lvl w:ilvl="8">
      <w:start w:val="1"/>
      <w:numFmt w:val="decimal"/>
      <w:lvlText w:val="%1.%2.%3.%4.%5.%6.%7.%8.%9"/>
      <w:lvlJc w:val="left"/>
      <w:pPr>
        <w:ind w:left="5880" w:hanging="1800"/>
      </w:pPr>
      <w:rPr/>
    </w:lvl>
  </w:abstractNum>
  <w:abstractNum w:abstractNumId="2">
    <w:lvl w:ilvl="0">
      <w:start w:val="3"/>
      <w:numFmt w:val="decimal"/>
      <w:lvlText w:val="%1"/>
      <w:lvlJc w:val="left"/>
      <w:pPr>
        <w:ind w:left="360" w:hanging="360"/>
      </w:pPr>
      <w:rPr>
        <w:color w:val="000000"/>
      </w:rPr>
    </w:lvl>
    <w:lvl w:ilvl="1">
      <w:start w:val="1"/>
      <w:numFmt w:val="decimal"/>
      <w:lvlText w:val="%1.%2"/>
      <w:lvlJc w:val="left"/>
      <w:pPr>
        <w:ind w:left="870" w:hanging="360"/>
      </w:pPr>
      <w:rPr>
        <w:color w:val="000000"/>
      </w:rPr>
    </w:lvl>
    <w:lvl w:ilvl="2">
      <w:start w:val="1"/>
      <w:numFmt w:val="decimal"/>
      <w:lvlText w:val="%1.%2.%3"/>
      <w:lvlJc w:val="left"/>
      <w:pPr>
        <w:ind w:left="1740" w:hanging="720"/>
      </w:pPr>
      <w:rPr>
        <w:color w:val="000000"/>
      </w:rPr>
    </w:lvl>
    <w:lvl w:ilvl="3">
      <w:start w:val="1"/>
      <w:numFmt w:val="decimal"/>
      <w:lvlText w:val="%1.%2.%3.%4"/>
      <w:lvlJc w:val="left"/>
      <w:pPr>
        <w:ind w:left="2250" w:hanging="720"/>
      </w:pPr>
      <w:rPr>
        <w:color w:val="000000"/>
      </w:rPr>
    </w:lvl>
    <w:lvl w:ilvl="4">
      <w:start w:val="1"/>
      <w:numFmt w:val="decimal"/>
      <w:lvlText w:val="%1.%2.%3.%4.%5"/>
      <w:lvlJc w:val="left"/>
      <w:pPr>
        <w:ind w:left="3120" w:hanging="1080"/>
      </w:pPr>
      <w:rPr>
        <w:color w:val="000000"/>
      </w:rPr>
    </w:lvl>
    <w:lvl w:ilvl="5">
      <w:start w:val="1"/>
      <w:numFmt w:val="decimal"/>
      <w:lvlText w:val="%1.%2.%3.%4.%5.%6"/>
      <w:lvlJc w:val="left"/>
      <w:pPr>
        <w:ind w:left="3630" w:hanging="1080"/>
      </w:pPr>
      <w:rPr>
        <w:color w:val="000000"/>
      </w:rPr>
    </w:lvl>
    <w:lvl w:ilvl="6">
      <w:start w:val="1"/>
      <w:numFmt w:val="decimal"/>
      <w:lvlText w:val="%1.%2.%3.%4.%5.%6.%7"/>
      <w:lvlJc w:val="left"/>
      <w:pPr>
        <w:ind w:left="4500" w:hanging="1440"/>
      </w:pPr>
      <w:rPr>
        <w:color w:val="000000"/>
      </w:rPr>
    </w:lvl>
    <w:lvl w:ilvl="7">
      <w:start w:val="1"/>
      <w:numFmt w:val="decimal"/>
      <w:lvlText w:val="%1.%2.%3.%4.%5.%6.%7.%8"/>
      <w:lvlJc w:val="left"/>
      <w:pPr>
        <w:ind w:left="5010" w:hanging="1440"/>
      </w:pPr>
      <w:rPr>
        <w:color w:val="000000"/>
      </w:rPr>
    </w:lvl>
    <w:lvl w:ilvl="8">
      <w:start w:val="1"/>
      <w:numFmt w:val="decimal"/>
      <w:lvlText w:val="%1.%2.%3.%4.%5.%6.%7.%8.%9"/>
      <w:lvlJc w:val="left"/>
      <w:pPr>
        <w:ind w:left="5880" w:hanging="1800"/>
      </w:pPr>
      <w:rPr>
        <w:color w:val="000000"/>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8"/>
      <w:numFmt w:val="decimal"/>
      <w:lvlText w:val="%1."/>
      <w:lvlJc w:val="left"/>
      <w:pPr>
        <w:ind w:left="360" w:hanging="360"/>
      </w:pPr>
      <w:rPr>
        <w:b w:val="1"/>
        <w:bCs w:val="1"/>
      </w:rPr>
    </w:lvl>
    <w:lvl w:ilvl="1">
      <w:start w:val="1"/>
      <w:numFmt w:val="decimal"/>
      <w:lvlText w:val="%1.%2."/>
      <w:lvlJc w:val="left"/>
      <w:pPr>
        <w:ind w:left="792" w:hanging="432"/>
      </w:pPr>
      <w:rPr>
        <w:b w:val="0"/>
        <w:bCs w:val="0"/>
      </w:rPr>
    </w:lvl>
    <w:lvl w:ilvl="2">
      <w:start w:val="1"/>
      <w:numFmt w:val="decimal"/>
      <w:lvlText w:val="%1.%2.%3."/>
      <w:lvlJc w:val="left"/>
      <w:pPr>
        <w:ind w:left="2631" w:hanging="504"/>
      </w:pPr>
      <w:rPr>
        <w:b w:val="0"/>
        <w:bCs w:val="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6">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7">
    <w:lvl w:ilvl="0">
      <w:start w:val="0"/>
      <w:numFmt w:val="bullet"/>
      <w:lvlText w:val="-"/>
      <w:lvlJc w:val="left"/>
      <w:pPr>
        <w:ind w:left="720" w:hanging="360"/>
      </w:pPr>
      <w:rPr>
        <w:rFonts w:ascii="Times New Roman" w:cs="Times New Roman" w:eastAsia="Times New Roman" w:hAnsi="Times New Roman"/>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9">
    <w:lvl w:ilvl="0">
      <w:start w:val="7"/>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8"/>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9"/>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3">
    <w:lvl w:ilvl="0">
      <w:start w:val="1"/>
      <w:numFmt w:val="decimal"/>
      <w:lvlText w:val="%1"/>
      <w:lvlJc w:val="left"/>
      <w:pPr>
        <w:ind w:left="360" w:hanging="360"/>
      </w:pPr>
      <w:rPr>
        <w:b w:val="0"/>
        <w:bCs w:val="0"/>
        <w:u w:val="none"/>
      </w:rPr>
    </w:lvl>
    <w:lvl w:ilvl="1">
      <w:start w:val="1"/>
      <w:numFmt w:val="decimal"/>
      <w:lvlText w:val="%1.%2"/>
      <w:lvlJc w:val="left"/>
      <w:pPr>
        <w:ind w:left="360" w:hanging="360"/>
      </w:pPr>
      <w:rPr>
        <w:b w:val="0"/>
        <w:bCs w:val="0"/>
        <w:u w:val="none"/>
      </w:rPr>
    </w:lvl>
    <w:lvl w:ilvl="2">
      <w:start w:val="1"/>
      <w:numFmt w:val="decimal"/>
      <w:lvlText w:val="%1.%2.%3"/>
      <w:lvlJc w:val="left"/>
      <w:pPr>
        <w:ind w:left="720" w:hanging="720"/>
      </w:pPr>
      <w:rPr>
        <w:b w:val="0"/>
        <w:bCs w:val="0"/>
        <w:u w:val="none"/>
      </w:rPr>
    </w:lvl>
    <w:lvl w:ilvl="3">
      <w:start w:val="1"/>
      <w:numFmt w:val="decimal"/>
      <w:lvlText w:val="%1.%2.%3.%4"/>
      <w:lvlJc w:val="left"/>
      <w:pPr>
        <w:ind w:left="720" w:hanging="720"/>
      </w:pPr>
      <w:rPr>
        <w:b w:val="0"/>
        <w:bCs w:val="0"/>
        <w:u w:val="none"/>
      </w:rPr>
    </w:lvl>
    <w:lvl w:ilvl="4">
      <w:start w:val="1"/>
      <w:numFmt w:val="decimal"/>
      <w:lvlText w:val="%1.%2.%3.%4.%5"/>
      <w:lvlJc w:val="left"/>
      <w:pPr>
        <w:ind w:left="1080" w:hanging="1080"/>
      </w:pPr>
      <w:rPr>
        <w:b w:val="0"/>
        <w:bCs w:val="0"/>
        <w:u w:val="none"/>
      </w:rPr>
    </w:lvl>
    <w:lvl w:ilvl="5">
      <w:start w:val="1"/>
      <w:numFmt w:val="decimal"/>
      <w:lvlText w:val="%1.%2.%3.%4.%5.%6"/>
      <w:lvlJc w:val="left"/>
      <w:pPr>
        <w:ind w:left="1080" w:hanging="1080"/>
      </w:pPr>
      <w:rPr>
        <w:b w:val="0"/>
        <w:bCs w:val="0"/>
        <w:u w:val="none"/>
      </w:rPr>
    </w:lvl>
    <w:lvl w:ilvl="6">
      <w:start w:val="1"/>
      <w:numFmt w:val="decimal"/>
      <w:lvlText w:val="%1.%2.%3.%4.%5.%6.%7"/>
      <w:lvlJc w:val="left"/>
      <w:pPr>
        <w:ind w:left="1440" w:hanging="1440"/>
      </w:pPr>
      <w:rPr>
        <w:b w:val="0"/>
        <w:bCs w:val="0"/>
        <w:u w:val="none"/>
      </w:rPr>
    </w:lvl>
    <w:lvl w:ilvl="7">
      <w:start w:val="1"/>
      <w:numFmt w:val="decimal"/>
      <w:lvlText w:val="%1.%2.%3.%4.%5.%6.%7.%8"/>
      <w:lvlJc w:val="left"/>
      <w:pPr>
        <w:ind w:left="1440" w:hanging="1440"/>
      </w:pPr>
      <w:rPr>
        <w:b w:val="0"/>
        <w:bCs w:val="0"/>
        <w:u w:val="none"/>
      </w:rPr>
    </w:lvl>
    <w:lvl w:ilvl="8">
      <w:start w:val="1"/>
      <w:numFmt w:val="decimal"/>
      <w:lvlText w:val="%1.%2.%3.%4.%5.%6.%7.%8.%9"/>
      <w:lvlJc w:val="left"/>
      <w:pPr>
        <w:ind w:left="1800" w:hanging="1800"/>
      </w:pPr>
      <w:rPr>
        <w:b w:val="0"/>
        <w:bCs w:val="0"/>
        <w:u w:val="none"/>
      </w:rPr>
    </w:lvl>
  </w:abstractNum>
  <w:abstractNum w:abstractNumId="14">
    <w:lvl w:ilvl="0">
      <w:start w:val="1"/>
      <w:numFmt w:val="bullet"/>
      <w:lvlText w:val="-"/>
      <w:lvlJc w:val="left"/>
      <w:pPr>
        <w:ind w:left="720" w:hanging="360"/>
      </w:pPr>
      <w:rPr>
        <w:rFonts w:ascii="Arial" w:cs="Arial" w:eastAsia="Arial" w:hAnsi="Arial"/>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2"/>
      <w:numFmt w:val="bullet"/>
      <w:lvlText w:val="-"/>
      <w:lvlJc w:val="left"/>
      <w:pPr>
        <w:ind w:left="1384" w:hanging="360"/>
      </w:pPr>
      <w:rPr>
        <w:rFonts w:ascii="Arial" w:cs="Arial" w:eastAsia="Arial" w:hAnsi="Arial"/>
      </w:rPr>
    </w:lvl>
    <w:lvl w:ilvl="1">
      <w:start w:val="1"/>
      <w:numFmt w:val="bullet"/>
      <w:lvlText w:val="o"/>
      <w:lvlJc w:val="left"/>
      <w:pPr>
        <w:ind w:left="2104" w:hanging="360"/>
      </w:pPr>
      <w:rPr>
        <w:rFonts w:ascii="Courier New" w:cs="Courier New" w:eastAsia="Courier New" w:hAnsi="Courier New"/>
      </w:rPr>
    </w:lvl>
    <w:lvl w:ilvl="2">
      <w:start w:val="1"/>
      <w:numFmt w:val="bullet"/>
      <w:lvlText w:val="▪"/>
      <w:lvlJc w:val="left"/>
      <w:pPr>
        <w:ind w:left="2824" w:hanging="360"/>
      </w:pPr>
      <w:rPr>
        <w:rFonts w:ascii="Noto Sans Symbols" w:cs="Noto Sans Symbols" w:eastAsia="Noto Sans Symbols" w:hAnsi="Noto Sans Symbols"/>
      </w:rPr>
    </w:lvl>
    <w:lvl w:ilvl="3">
      <w:start w:val="1"/>
      <w:numFmt w:val="bullet"/>
      <w:lvlText w:val="●"/>
      <w:lvlJc w:val="left"/>
      <w:pPr>
        <w:ind w:left="3544" w:hanging="360"/>
      </w:pPr>
      <w:rPr>
        <w:rFonts w:ascii="Noto Sans Symbols" w:cs="Noto Sans Symbols" w:eastAsia="Noto Sans Symbols" w:hAnsi="Noto Sans Symbols"/>
      </w:rPr>
    </w:lvl>
    <w:lvl w:ilvl="4">
      <w:start w:val="1"/>
      <w:numFmt w:val="bullet"/>
      <w:lvlText w:val="o"/>
      <w:lvlJc w:val="left"/>
      <w:pPr>
        <w:ind w:left="4264" w:hanging="360"/>
      </w:pPr>
      <w:rPr>
        <w:rFonts w:ascii="Courier New" w:cs="Courier New" w:eastAsia="Courier New" w:hAnsi="Courier New"/>
      </w:rPr>
    </w:lvl>
    <w:lvl w:ilvl="5">
      <w:start w:val="1"/>
      <w:numFmt w:val="bullet"/>
      <w:lvlText w:val="▪"/>
      <w:lvlJc w:val="left"/>
      <w:pPr>
        <w:ind w:left="4984" w:hanging="360"/>
      </w:pPr>
      <w:rPr>
        <w:rFonts w:ascii="Noto Sans Symbols" w:cs="Noto Sans Symbols" w:eastAsia="Noto Sans Symbols" w:hAnsi="Noto Sans Symbols"/>
      </w:rPr>
    </w:lvl>
    <w:lvl w:ilvl="6">
      <w:start w:val="1"/>
      <w:numFmt w:val="bullet"/>
      <w:lvlText w:val="●"/>
      <w:lvlJc w:val="left"/>
      <w:pPr>
        <w:ind w:left="5704" w:hanging="360"/>
      </w:pPr>
      <w:rPr>
        <w:rFonts w:ascii="Noto Sans Symbols" w:cs="Noto Sans Symbols" w:eastAsia="Noto Sans Symbols" w:hAnsi="Noto Sans Symbols"/>
      </w:rPr>
    </w:lvl>
    <w:lvl w:ilvl="7">
      <w:start w:val="1"/>
      <w:numFmt w:val="bullet"/>
      <w:lvlText w:val="o"/>
      <w:lvlJc w:val="left"/>
      <w:pPr>
        <w:ind w:left="6424" w:hanging="360"/>
      </w:pPr>
      <w:rPr>
        <w:rFonts w:ascii="Courier New" w:cs="Courier New" w:eastAsia="Courier New" w:hAnsi="Courier New"/>
      </w:rPr>
    </w:lvl>
    <w:lvl w:ilvl="8">
      <w:start w:val="1"/>
      <w:numFmt w:val="bullet"/>
      <w:lvlText w:val="▪"/>
      <w:lvlJc w:val="left"/>
      <w:pPr>
        <w:ind w:left="7144" w:hanging="360"/>
      </w:pPr>
      <w:rPr>
        <w:rFonts w:ascii="Noto Sans Symbols" w:cs="Noto Sans Symbols" w:eastAsia="Noto Sans Symbols" w:hAnsi="Noto Sans Symbols"/>
      </w:rPr>
    </w:lvl>
  </w:abstractNum>
  <w:abstractNum w:abstractNumId="16">
    <w:lvl w:ilvl="0">
      <w:start w:val="4"/>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7">
    <w:lvl w:ilvl="0">
      <w:start w:val="1"/>
      <w:numFmt w:val="bullet"/>
      <w:lvlText w:val="●"/>
      <w:lvlJc w:val="left"/>
      <w:pPr>
        <w:ind w:left="1488" w:hanging="360"/>
      </w:pPr>
      <w:rPr>
        <w:rFonts w:ascii="Noto Sans Symbols" w:cs="Noto Sans Symbols" w:eastAsia="Noto Sans Symbols" w:hAnsi="Noto Sans Symbols"/>
      </w:rPr>
    </w:lvl>
    <w:lvl w:ilvl="1">
      <w:start w:val="1"/>
      <w:numFmt w:val="bullet"/>
      <w:lvlText w:val="o"/>
      <w:lvlJc w:val="left"/>
      <w:pPr>
        <w:ind w:left="2208" w:hanging="360"/>
      </w:pPr>
      <w:rPr>
        <w:rFonts w:ascii="Courier New" w:cs="Courier New" w:eastAsia="Courier New" w:hAnsi="Courier New"/>
      </w:rPr>
    </w:lvl>
    <w:lvl w:ilvl="2">
      <w:start w:val="1"/>
      <w:numFmt w:val="bullet"/>
      <w:lvlText w:val="▪"/>
      <w:lvlJc w:val="left"/>
      <w:pPr>
        <w:ind w:left="2928" w:hanging="360"/>
      </w:pPr>
      <w:rPr>
        <w:rFonts w:ascii="Noto Sans Symbols" w:cs="Noto Sans Symbols" w:eastAsia="Noto Sans Symbols" w:hAnsi="Noto Sans Symbols"/>
      </w:rPr>
    </w:lvl>
    <w:lvl w:ilvl="3">
      <w:start w:val="1"/>
      <w:numFmt w:val="bullet"/>
      <w:lvlText w:val="●"/>
      <w:lvlJc w:val="left"/>
      <w:pPr>
        <w:ind w:left="3648" w:hanging="360"/>
      </w:pPr>
      <w:rPr>
        <w:rFonts w:ascii="Noto Sans Symbols" w:cs="Noto Sans Symbols" w:eastAsia="Noto Sans Symbols" w:hAnsi="Noto Sans Symbols"/>
      </w:rPr>
    </w:lvl>
    <w:lvl w:ilvl="4">
      <w:start w:val="1"/>
      <w:numFmt w:val="bullet"/>
      <w:lvlText w:val="o"/>
      <w:lvlJc w:val="left"/>
      <w:pPr>
        <w:ind w:left="4368" w:hanging="360"/>
      </w:pPr>
      <w:rPr>
        <w:rFonts w:ascii="Courier New" w:cs="Courier New" w:eastAsia="Courier New" w:hAnsi="Courier New"/>
      </w:rPr>
    </w:lvl>
    <w:lvl w:ilvl="5">
      <w:start w:val="1"/>
      <w:numFmt w:val="bullet"/>
      <w:lvlText w:val="▪"/>
      <w:lvlJc w:val="left"/>
      <w:pPr>
        <w:ind w:left="5088" w:hanging="360"/>
      </w:pPr>
      <w:rPr>
        <w:rFonts w:ascii="Noto Sans Symbols" w:cs="Noto Sans Symbols" w:eastAsia="Noto Sans Symbols" w:hAnsi="Noto Sans Symbols"/>
      </w:rPr>
    </w:lvl>
    <w:lvl w:ilvl="6">
      <w:start w:val="1"/>
      <w:numFmt w:val="bullet"/>
      <w:lvlText w:val="●"/>
      <w:lvlJc w:val="left"/>
      <w:pPr>
        <w:ind w:left="5808" w:hanging="360"/>
      </w:pPr>
      <w:rPr>
        <w:rFonts w:ascii="Noto Sans Symbols" w:cs="Noto Sans Symbols" w:eastAsia="Noto Sans Symbols" w:hAnsi="Noto Sans Symbols"/>
      </w:rPr>
    </w:lvl>
    <w:lvl w:ilvl="7">
      <w:start w:val="1"/>
      <w:numFmt w:val="bullet"/>
      <w:lvlText w:val="o"/>
      <w:lvlJc w:val="left"/>
      <w:pPr>
        <w:ind w:left="6528" w:hanging="360"/>
      </w:pPr>
      <w:rPr>
        <w:rFonts w:ascii="Courier New" w:cs="Courier New" w:eastAsia="Courier New" w:hAnsi="Courier New"/>
      </w:rPr>
    </w:lvl>
    <w:lvl w:ilvl="8">
      <w:start w:val="1"/>
      <w:numFmt w:val="bullet"/>
      <w:lvlText w:val="▪"/>
      <w:lvlJc w:val="left"/>
      <w:pPr>
        <w:ind w:left="7248" w:hanging="360"/>
      </w:pPr>
      <w:rPr>
        <w:rFonts w:ascii="Noto Sans Symbols" w:cs="Noto Sans Symbols" w:eastAsia="Noto Sans Symbols" w:hAnsi="Noto Sans Symbols"/>
      </w:rPr>
    </w:lvl>
  </w:abstractNum>
  <w:abstractNum w:abstractNumId="18">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9">
    <w:lvl w:ilvl="0">
      <w:start w:val="1"/>
      <w:numFmt w:val="lowerRoman"/>
      <w:lvlText w:val="(%1)"/>
      <w:lvlJc w:val="left"/>
      <w:pPr>
        <w:ind w:left="1287" w:hanging="720.0000000000001"/>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360" w:lineRule="auto"/>
      <w:ind w:left="992" w:hanging="425"/>
      <w:jc w:val="both"/>
    </w:pPr>
    <w:rPr>
      <w:rFonts w:ascii="Arial" w:cs="Arial" w:eastAsia="Arial" w:hAnsi="Arial"/>
      <w:b w:val="1"/>
      <w:bCs w:val="1"/>
      <w:smallCaps w:val="1"/>
    </w:rPr>
  </w:style>
  <w:style w:type="paragraph" w:styleId="Heading2">
    <w:name w:val="heading 2"/>
    <w:basedOn w:val="Normal"/>
    <w:next w:val="Normal"/>
    <w:pPr>
      <w:keepLines w:val="1"/>
      <w:spacing w:after="120" w:before="240" w:lineRule="auto"/>
      <w:ind w:left="1134" w:hanging="567"/>
      <w:jc w:val="both"/>
    </w:pPr>
    <w:rPr>
      <w:rFonts w:ascii="Arial" w:cs="Arial" w:eastAsia="Arial" w:hAnsi="Arial"/>
      <w:sz w:val="22"/>
      <w:szCs w:val="22"/>
    </w:rPr>
  </w:style>
  <w:style w:type="paragraph" w:styleId="Heading3">
    <w:name w:val="heading 3"/>
    <w:basedOn w:val="Normal"/>
    <w:next w:val="Normal"/>
    <w:pPr>
      <w:spacing w:after="120" w:before="120" w:lineRule="auto"/>
      <w:ind w:left="1985" w:hanging="851"/>
      <w:jc w:val="both"/>
    </w:pPr>
    <w:rPr>
      <w:rFonts w:ascii="Arial" w:cs="Arial" w:eastAsia="Arial" w:hAnsi="Arial"/>
      <w:sz w:val="22"/>
      <w:szCs w:val="22"/>
    </w:rPr>
  </w:style>
  <w:style w:type="paragraph" w:styleId="Heading4">
    <w:name w:val="heading 4"/>
    <w:basedOn w:val="Normal"/>
    <w:next w:val="Normal"/>
    <w:pPr>
      <w:spacing w:after="120" w:before="120" w:lineRule="auto"/>
      <w:ind w:left="1985" w:hanging="851"/>
      <w:jc w:val="both"/>
    </w:pPr>
    <w:rPr>
      <w:rFonts w:ascii="Arial" w:cs="Arial" w:eastAsia="Arial" w:hAnsi="Arial"/>
      <w:sz w:val="22"/>
      <w:szCs w:val="22"/>
    </w:rPr>
  </w:style>
  <w:style w:type="paragraph" w:styleId="Heading5">
    <w:name w:val="heading 5"/>
    <w:basedOn w:val="Normal"/>
    <w:next w:val="Normal"/>
    <w:pPr>
      <w:tabs>
        <w:tab w:val="left" w:leader="none" w:pos="1985"/>
      </w:tabs>
      <w:spacing w:after="120" w:before="120" w:lineRule="auto"/>
      <w:ind w:left="2552" w:hanging="566"/>
      <w:jc w:val="both"/>
    </w:pPr>
    <w:rPr>
      <w:rFonts w:ascii="Arial" w:cs="Arial" w:eastAsia="Arial" w:hAnsi="Arial"/>
      <w:sz w:val="22"/>
      <w:szCs w:val="22"/>
    </w:rPr>
  </w:style>
  <w:style w:type="paragraph" w:styleId="Heading6">
    <w:name w:val="heading 6"/>
    <w:basedOn w:val="Normal"/>
    <w:next w:val="Normal"/>
    <w:pPr>
      <w:spacing w:after="120" w:before="120" w:lineRule="auto"/>
      <w:ind w:left="2977" w:hanging="425"/>
      <w:jc w:val="both"/>
    </w:pPr>
    <w:rPr>
      <w:rFonts w:ascii="Arial" w:cs="Arial" w:eastAsia="Arial" w:hAnsi="Arial"/>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krt.reality@g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ws9IzchusrYXCvcaCEeV05wFw==">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